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1AC8B16" w14:textId="77777777" w:rsidR="000F29CC" w:rsidRDefault="00D0295E">
      <w:pPr>
        <w:pStyle w:val="Heading1"/>
        <w:spacing w:before="93"/>
      </w:pPr>
      <w:r>
        <w:t>Annex A</w:t>
      </w:r>
    </w:p>
    <w:p w14:paraId="136095B3" w14:textId="77777777" w:rsidR="000F29CC" w:rsidRDefault="000F29CC">
      <w:pPr>
        <w:pStyle w:val="BodyText"/>
        <w:spacing w:before="1"/>
        <w:rPr>
          <w:rFonts w:ascii="Arial"/>
          <w:b/>
          <w:sz w:val="23"/>
        </w:rPr>
      </w:pPr>
    </w:p>
    <w:p w14:paraId="7B5BAB2C" w14:textId="77777777" w:rsidR="000F29CC" w:rsidRDefault="00D0295E">
      <w:pPr>
        <w:spacing w:before="93"/>
        <w:ind w:left="518" w:right="656"/>
        <w:jc w:val="center"/>
        <w:rPr>
          <w:rFonts w:ascii="Arial" w:hAnsi="Arial"/>
          <w:b/>
          <w:sz w:val="20"/>
        </w:rPr>
      </w:pPr>
      <w:r>
        <w:rPr>
          <w:rFonts w:ascii="Arial" w:hAnsi="Arial"/>
          <w:b/>
          <w:sz w:val="20"/>
          <w:u w:val="thick"/>
        </w:rPr>
        <w:t>NTUC</w:t>
      </w:r>
      <w:r>
        <w:rPr>
          <w:rFonts w:ascii="Arial" w:hAnsi="Arial"/>
          <w:b/>
          <w:spacing w:val="-3"/>
          <w:sz w:val="20"/>
          <w:u w:val="thick"/>
        </w:rPr>
        <w:t xml:space="preserve"> </w:t>
      </w:r>
      <w:r>
        <w:rPr>
          <w:rFonts w:ascii="Arial" w:hAnsi="Arial"/>
          <w:b/>
          <w:sz w:val="20"/>
          <w:u w:val="thick"/>
        </w:rPr>
        <w:t>May</w:t>
      </w:r>
      <w:r>
        <w:rPr>
          <w:rFonts w:ascii="Arial" w:hAnsi="Arial"/>
          <w:b/>
          <w:spacing w:val="-2"/>
          <w:sz w:val="20"/>
          <w:u w:val="thick"/>
        </w:rPr>
        <w:t xml:space="preserve"> </w:t>
      </w:r>
      <w:r>
        <w:rPr>
          <w:rFonts w:ascii="Arial" w:hAnsi="Arial"/>
          <w:b/>
          <w:sz w:val="20"/>
          <w:u w:val="thick"/>
        </w:rPr>
        <w:t>Day</w:t>
      </w:r>
      <w:r>
        <w:rPr>
          <w:rFonts w:ascii="Arial" w:hAnsi="Arial"/>
          <w:b/>
          <w:spacing w:val="-2"/>
          <w:sz w:val="20"/>
          <w:u w:val="thick"/>
        </w:rPr>
        <w:t xml:space="preserve"> </w:t>
      </w:r>
      <w:r>
        <w:rPr>
          <w:rFonts w:ascii="Arial" w:hAnsi="Arial"/>
          <w:b/>
          <w:sz w:val="20"/>
          <w:u w:val="thick"/>
        </w:rPr>
        <w:t>Award</w:t>
      </w:r>
      <w:r>
        <w:rPr>
          <w:rFonts w:ascii="Arial" w:hAnsi="Arial"/>
          <w:b/>
          <w:spacing w:val="-1"/>
          <w:sz w:val="20"/>
          <w:u w:val="thick"/>
        </w:rPr>
        <w:t xml:space="preserve"> </w:t>
      </w:r>
      <w:r>
        <w:rPr>
          <w:rFonts w:ascii="Arial" w:hAnsi="Arial"/>
          <w:b/>
          <w:sz w:val="20"/>
          <w:u w:val="thick"/>
        </w:rPr>
        <w:t>2023</w:t>
      </w:r>
      <w:r>
        <w:rPr>
          <w:rFonts w:ascii="Arial" w:hAnsi="Arial"/>
          <w:b/>
          <w:spacing w:val="-2"/>
          <w:sz w:val="20"/>
          <w:u w:val="thick"/>
        </w:rPr>
        <w:t xml:space="preserve"> </w:t>
      </w:r>
      <w:r>
        <w:rPr>
          <w:rFonts w:ascii="Arial" w:hAnsi="Arial"/>
          <w:b/>
          <w:sz w:val="20"/>
          <w:u w:val="thick"/>
        </w:rPr>
        <w:t>–</w:t>
      </w:r>
      <w:r>
        <w:rPr>
          <w:rFonts w:ascii="Arial" w:hAnsi="Arial"/>
          <w:b/>
          <w:spacing w:val="-2"/>
          <w:sz w:val="20"/>
          <w:u w:val="thick"/>
        </w:rPr>
        <w:t xml:space="preserve"> </w:t>
      </w:r>
      <w:r>
        <w:rPr>
          <w:rFonts w:ascii="Arial" w:hAnsi="Arial"/>
          <w:b/>
          <w:sz w:val="20"/>
          <w:u w:val="thick"/>
        </w:rPr>
        <w:t>Top</w:t>
      </w:r>
      <w:r>
        <w:rPr>
          <w:rFonts w:ascii="Arial" w:hAnsi="Arial"/>
          <w:b/>
          <w:spacing w:val="-1"/>
          <w:sz w:val="20"/>
          <w:u w:val="thick"/>
        </w:rPr>
        <w:t xml:space="preserve"> </w:t>
      </w:r>
      <w:r>
        <w:rPr>
          <w:rFonts w:ascii="Arial" w:hAnsi="Arial"/>
          <w:b/>
          <w:sz w:val="20"/>
          <w:u w:val="thick"/>
        </w:rPr>
        <w:t>Awardee</w:t>
      </w:r>
      <w:r>
        <w:rPr>
          <w:rFonts w:ascii="Arial" w:hAnsi="Arial"/>
          <w:b/>
          <w:spacing w:val="-2"/>
          <w:sz w:val="20"/>
          <w:u w:val="thick"/>
        </w:rPr>
        <w:t xml:space="preserve"> </w:t>
      </w:r>
      <w:r>
        <w:rPr>
          <w:rFonts w:ascii="Arial" w:hAnsi="Arial"/>
          <w:b/>
          <w:sz w:val="20"/>
          <w:u w:val="thick"/>
        </w:rPr>
        <w:t>Citation</w:t>
      </w:r>
    </w:p>
    <w:p w14:paraId="06C2AB34" w14:textId="77777777" w:rsidR="000F29CC" w:rsidRDefault="000F29CC">
      <w:pPr>
        <w:pStyle w:val="BodyText"/>
        <w:spacing w:before="11"/>
        <w:rPr>
          <w:rFonts w:ascii="Arial"/>
          <w:b/>
          <w:sz w:val="25"/>
        </w:rPr>
      </w:pPr>
    </w:p>
    <w:tbl>
      <w:tblPr>
        <w:tblW w:w="0" w:type="auto"/>
        <w:tblInd w:w="132" w:type="dxa"/>
        <w:tblBorders>
          <w:top w:val="single" w:sz="4" w:space="0" w:color="EDEBE0"/>
          <w:left w:val="single" w:sz="4" w:space="0" w:color="EDEBE0"/>
          <w:bottom w:val="single" w:sz="4" w:space="0" w:color="EDEBE0"/>
          <w:right w:val="single" w:sz="4" w:space="0" w:color="EDEBE0"/>
          <w:insideH w:val="single" w:sz="4" w:space="0" w:color="EDEBE0"/>
          <w:insideV w:val="single" w:sz="4" w:space="0" w:color="EDEBE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35"/>
        <w:gridCol w:w="8460"/>
      </w:tblGrid>
      <w:tr w:rsidR="000F29CC" w14:paraId="323C9923" w14:textId="77777777">
        <w:trPr>
          <w:trHeight w:val="942"/>
        </w:trPr>
        <w:tc>
          <w:tcPr>
            <w:tcW w:w="8995" w:type="dxa"/>
            <w:gridSpan w:val="2"/>
            <w:tcBorders>
              <w:top w:val="nil"/>
              <w:left w:val="nil"/>
              <w:right w:val="nil"/>
            </w:tcBorders>
            <w:shd w:val="clear" w:color="auto" w:fill="234060"/>
          </w:tcPr>
          <w:p w14:paraId="752E92E0" w14:textId="77777777" w:rsidR="000F29CC" w:rsidRDefault="00D0295E">
            <w:pPr>
              <w:pStyle w:val="TableParagraph"/>
              <w:spacing w:line="252" w:lineRule="exact"/>
              <w:ind w:left="108"/>
              <w:rPr>
                <w:rFonts w:ascii="Arial"/>
                <w:b/>
              </w:rPr>
            </w:pPr>
            <w:r>
              <w:rPr>
                <w:rFonts w:ascii="Arial"/>
                <w:b/>
                <w:color w:val="FFFFFF"/>
              </w:rPr>
              <w:t>MEDAL</w:t>
            </w:r>
            <w:r>
              <w:rPr>
                <w:rFonts w:ascii="Arial"/>
                <w:b/>
                <w:color w:val="FFFFFF"/>
                <w:spacing w:val="-3"/>
              </w:rPr>
              <w:t xml:space="preserve"> </w:t>
            </w:r>
            <w:r>
              <w:rPr>
                <w:rFonts w:ascii="Arial"/>
                <w:b/>
                <w:color w:val="FFFFFF"/>
              </w:rPr>
              <w:t>OF</w:t>
            </w:r>
            <w:r>
              <w:rPr>
                <w:rFonts w:ascii="Arial"/>
                <w:b/>
                <w:color w:val="FFFFFF"/>
                <w:spacing w:val="-3"/>
              </w:rPr>
              <w:t xml:space="preserve"> </w:t>
            </w:r>
            <w:r>
              <w:rPr>
                <w:rFonts w:ascii="Arial"/>
                <w:b/>
                <w:color w:val="FFFFFF"/>
              </w:rPr>
              <w:t>HONOUR</w:t>
            </w:r>
          </w:p>
          <w:p w14:paraId="16C582EE" w14:textId="77777777" w:rsidR="000F29CC" w:rsidRDefault="00D0295E">
            <w:pPr>
              <w:pStyle w:val="TableParagraph"/>
              <w:spacing w:line="230" w:lineRule="exact"/>
              <w:ind w:left="108" w:right="271"/>
              <w:rPr>
                <w:sz w:val="20"/>
              </w:rPr>
            </w:pPr>
            <w:r>
              <w:rPr>
                <w:rFonts w:ascii="Arial"/>
                <w:b/>
                <w:color w:val="FF0000"/>
                <w:sz w:val="20"/>
                <w:shd w:val="clear" w:color="auto" w:fill="FFFF00"/>
              </w:rPr>
              <w:t>[Embargoed till until delivery of announcement or 22 May 2023, Monday, 1900hrs]</w:t>
            </w:r>
            <w:r>
              <w:rPr>
                <w:rFonts w:ascii="Arial"/>
                <w:b/>
                <w:color w:val="FF0000"/>
                <w:spacing w:val="1"/>
                <w:sz w:val="20"/>
              </w:rPr>
              <w:t xml:space="preserve"> </w:t>
            </w:r>
            <w:r>
              <w:rPr>
                <w:color w:val="FFFFFF"/>
                <w:sz w:val="20"/>
              </w:rPr>
              <w:t>Conferred</w:t>
            </w:r>
            <w:r>
              <w:rPr>
                <w:color w:val="FFFFFF"/>
                <w:spacing w:val="-5"/>
                <w:sz w:val="20"/>
              </w:rPr>
              <w:t xml:space="preserve"> </w:t>
            </w:r>
            <w:r>
              <w:rPr>
                <w:color w:val="FFFFFF"/>
                <w:sz w:val="20"/>
              </w:rPr>
              <w:t>on</w:t>
            </w:r>
            <w:r>
              <w:rPr>
                <w:color w:val="FFFFFF"/>
                <w:spacing w:val="-2"/>
                <w:sz w:val="20"/>
              </w:rPr>
              <w:t xml:space="preserve"> </w:t>
            </w:r>
            <w:r>
              <w:rPr>
                <w:color w:val="FFFFFF"/>
                <w:sz w:val="20"/>
              </w:rPr>
              <w:t>special</w:t>
            </w:r>
            <w:r>
              <w:rPr>
                <w:color w:val="FFFFFF"/>
                <w:spacing w:val="-4"/>
                <w:sz w:val="20"/>
              </w:rPr>
              <w:t xml:space="preserve"> </w:t>
            </w:r>
            <w:r>
              <w:rPr>
                <w:color w:val="FFFFFF"/>
                <w:sz w:val="20"/>
              </w:rPr>
              <w:t>individuals</w:t>
            </w:r>
            <w:r>
              <w:rPr>
                <w:color w:val="FFFFFF"/>
                <w:spacing w:val="-3"/>
                <w:sz w:val="20"/>
              </w:rPr>
              <w:t xml:space="preserve"> </w:t>
            </w:r>
            <w:r>
              <w:rPr>
                <w:color w:val="FFFFFF"/>
                <w:sz w:val="20"/>
              </w:rPr>
              <w:t>who</w:t>
            </w:r>
            <w:r>
              <w:rPr>
                <w:color w:val="FFFFFF"/>
                <w:spacing w:val="-2"/>
                <w:sz w:val="20"/>
              </w:rPr>
              <w:t xml:space="preserve"> </w:t>
            </w:r>
            <w:r>
              <w:rPr>
                <w:color w:val="FFFFFF"/>
                <w:sz w:val="20"/>
              </w:rPr>
              <w:t>have</w:t>
            </w:r>
            <w:r>
              <w:rPr>
                <w:color w:val="FFFFFF"/>
                <w:spacing w:val="-5"/>
                <w:sz w:val="20"/>
              </w:rPr>
              <w:t xml:space="preserve"> </w:t>
            </w:r>
            <w:r>
              <w:rPr>
                <w:color w:val="FFFFFF"/>
                <w:sz w:val="20"/>
              </w:rPr>
              <w:t>rendered</w:t>
            </w:r>
            <w:r>
              <w:rPr>
                <w:color w:val="FFFFFF"/>
                <w:spacing w:val="-4"/>
                <w:sz w:val="20"/>
              </w:rPr>
              <w:t xml:space="preserve"> </w:t>
            </w:r>
            <w:r>
              <w:rPr>
                <w:color w:val="FFFFFF"/>
                <w:sz w:val="20"/>
              </w:rPr>
              <w:t>distinguished</w:t>
            </w:r>
            <w:r>
              <w:rPr>
                <w:color w:val="FFFFFF"/>
                <w:spacing w:val="-4"/>
                <w:sz w:val="20"/>
              </w:rPr>
              <w:t xml:space="preserve"> </w:t>
            </w:r>
            <w:r>
              <w:rPr>
                <w:color w:val="FFFFFF"/>
                <w:sz w:val="20"/>
              </w:rPr>
              <w:t>services</w:t>
            </w:r>
            <w:r>
              <w:rPr>
                <w:color w:val="FFFFFF"/>
                <w:spacing w:val="-3"/>
                <w:sz w:val="20"/>
              </w:rPr>
              <w:t xml:space="preserve"> </w:t>
            </w:r>
            <w:r>
              <w:rPr>
                <w:color w:val="FFFFFF"/>
                <w:sz w:val="20"/>
              </w:rPr>
              <w:t>to</w:t>
            </w:r>
            <w:r>
              <w:rPr>
                <w:color w:val="FFFFFF"/>
                <w:spacing w:val="-5"/>
                <w:sz w:val="20"/>
              </w:rPr>
              <w:t xml:space="preserve"> </w:t>
            </w:r>
            <w:r>
              <w:rPr>
                <w:color w:val="FFFFFF"/>
                <w:sz w:val="20"/>
              </w:rPr>
              <w:t>the</w:t>
            </w:r>
            <w:r>
              <w:rPr>
                <w:color w:val="FFFFFF"/>
                <w:spacing w:val="-2"/>
                <w:sz w:val="20"/>
              </w:rPr>
              <w:t xml:space="preserve"> </w:t>
            </w:r>
            <w:proofErr w:type="spellStart"/>
            <w:r>
              <w:rPr>
                <w:color w:val="FFFFFF"/>
                <w:sz w:val="20"/>
              </w:rPr>
              <w:t>Labour</w:t>
            </w:r>
            <w:proofErr w:type="spellEnd"/>
            <w:r>
              <w:rPr>
                <w:color w:val="FFFFFF"/>
                <w:spacing w:val="-53"/>
                <w:sz w:val="20"/>
              </w:rPr>
              <w:t xml:space="preserve"> </w:t>
            </w:r>
            <w:r>
              <w:rPr>
                <w:color w:val="FFFFFF"/>
                <w:sz w:val="20"/>
              </w:rPr>
              <w:t>Movement.</w:t>
            </w:r>
          </w:p>
        </w:tc>
      </w:tr>
      <w:tr w:rsidR="000F29CC" w14:paraId="57A4B688" w14:textId="77777777">
        <w:trPr>
          <w:trHeight w:val="558"/>
        </w:trPr>
        <w:tc>
          <w:tcPr>
            <w:tcW w:w="535" w:type="dxa"/>
            <w:vMerge w:val="restart"/>
          </w:tcPr>
          <w:p w14:paraId="59CBA1CA" w14:textId="77777777" w:rsidR="000F29CC" w:rsidRDefault="00D0295E">
            <w:pPr>
              <w:pStyle w:val="TableParagraph"/>
              <w:spacing w:before="14"/>
              <w:ind w:left="7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8460" w:type="dxa"/>
          </w:tcPr>
          <w:p w14:paraId="740AA68F" w14:textId="77777777" w:rsidR="000F29CC" w:rsidRDefault="00D0295E">
            <w:pPr>
              <w:pStyle w:val="TableParagraph"/>
              <w:spacing w:before="14"/>
              <w:ind w:left="108"/>
              <w:rPr>
                <w:sz w:val="20"/>
              </w:rPr>
            </w:pPr>
            <w:r>
              <w:rPr>
                <w:sz w:val="20"/>
              </w:rPr>
              <w:t>Deputy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Prime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Minister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Singapore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Minister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for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Finance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Lawrence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Wong</w:t>
            </w:r>
          </w:p>
        </w:tc>
      </w:tr>
      <w:tr w:rsidR="000F29CC" w14:paraId="58BCDB49" w14:textId="77777777">
        <w:trPr>
          <w:trHeight w:val="9287"/>
        </w:trPr>
        <w:tc>
          <w:tcPr>
            <w:tcW w:w="535" w:type="dxa"/>
            <w:vMerge/>
            <w:tcBorders>
              <w:top w:val="nil"/>
            </w:tcBorders>
          </w:tcPr>
          <w:p w14:paraId="64FB5F8A" w14:textId="77777777" w:rsidR="000F29CC" w:rsidRDefault="000F29CC">
            <w:pPr>
              <w:rPr>
                <w:sz w:val="2"/>
                <w:szCs w:val="2"/>
              </w:rPr>
            </w:pPr>
          </w:p>
        </w:tc>
        <w:tc>
          <w:tcPr>
            <w:tcW w:w="8460" w:type="dxa"/>
          </w:tcPr>
          <w:p w14:paraId="1A8D0CB3" w14:textId="77777777" w:rsidR="000F29CC" w:rsidRDefault="00D0295E">
            <w:pPr>
              <w:pStyle w:val="TableParagraph"/>
              <w:spacing w:before="14" w:line="278" w:lineRule="auto"/>
              <w:ind w:left="108" w:right="96"/>
              <w:jc w:val="both"/>
              <w:rPr>
                <w:sz w:val="20"/>
              </w:rPr>
            </w:pPr>
            <w:r>
              <w:rPr>
                <w:sz w:val="20"/>
              </w:rPr>
              <w:t>In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his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years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public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service,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Deputy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Prime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Minister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Minister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for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Finance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Lawrence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Wong</w:t>
            </w:r>
            <w:r>
              <w:rPr>
                <w:spacing w:val="-53"/>
                <w:sz w:val="20"/>
              </w:rPr>
              <w:t xml:space="preserve"> </w:t>
            </w:r>
            <w:r>
              <w:rPr>
                <w:sz w:val="20"/>
              </w:rPr>
              <w:t>has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been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strong advocate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supporter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of workers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tripartism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in Singapore.</w:t>
            </w:r>
          </w:p>
          <w:p w14:paraId="302CE128" w14:textId="77777777" w:rsidR="000F29CC" w:rsidRDefault="000F29CC">
            <w:pPr>
              <w:pStyle w:val="TableParagraph"/>
              <w:spacing w:before="7"/>
              <w:ind w:left="0"/>
              <w:rPr>
                <w:rFonts w:ascii="Arial"/>
                <w:b/>
              </w:rPr>
            </w:pPr>
          </w:p>
          <w:p w14:paraId="44C682DD" w14:textId="77777777" w:rsidR="000F29CC" w:rsidRDefault="00D0295E">
            <w:pPr>
              <w:pStyle w:val="TableParagraph"/>
              <w:spacing w:line="276" w:lineRule="auto"/>
              <w:ind w:left="107" w:right="97"/>
              <w:jc w:val="both"/>
              <w:rPr>
                <w:sz w:val="20"/>
              </w:rPr>
            </w:pPr>
            <w:r>
              <w:rPr>
                <w:sz w:val="20"/>
              </w:rPr>
              <w:t>As Minister for Finance, DPM Wong supported tripartite efforts to improve skills training for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workers and businesses. He set aside funds in the Budget for NTUC to work with companies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through the Company Training Committees (CTCs). The CTCs ensure that employers focus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on re-skilling and upskilling their workers, as they go about their business transformation. He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also implemented the Jobs-Skills Integrator initiative, which brings together industry, </w:t>
            </w:r>
            <w:proofErr w:type="gramStart"/>
            <w:r>
              <w:rPr>
                <w:sz w:val="20"/>
              </w:rPr>
              <w:t>training</w:t>
            </w:r>
            <w:proofErr w:type="gramEnd"/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and employment facilitation partners, including NTUC, to improve training and job matching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for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workers.</w:t>
            </w:r>
          </w:p>
          <w:p w14:paraId="0E972F21" w14:textId="77777777" w:rsidR="000F29CC" w:rsidRDefault="000F29CC">
            <w:pPr>
              <w:pStyle w:val="TableParagraph"/>
              <w:spacing w:before="1"/>
              <w:ind w:left="0"/>
              <w:rPr>
                <w:rFonts w:ascii="Arial"/>
                <w:b/>
                <w:sz w:val="23"/>
              </w:rPr>
            </w:pPr>
          </w:p>
          <w:p w14:paraId="58F7CC78" w14:textId="77777777" w:rsidR="000F29CC" w:rsidRDefault="00D0295E">
            <w:pPr>
              <w:pStyle w:val="TableParagraph"/>
              <w:spacing w:line="276" w:lineRule="auto"/>
              <w:ind w:left="108" w:right="96"/>
              <w:jc w:val="both"/>
              <w:rPr>
                <w:sz w:val="20"/>
              </w:rPr>
            </w:pPr>
            <w:r>
              <w:rPr>
                <w:sz w:val="20"/>
              </w:rPr>
              <w:t>DPM Wong has championed better wages and employment outcomes for lower-income and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vulnerable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workers.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He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introduced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Progressive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Wage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Credit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Scheme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to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support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Progressive Wages, and significantly enhanced the Workfare Income Supplement, including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by expanding its coverage to younger workers. More recently, he rolled out initiatives to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encourage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employers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to hire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seniors,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persons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with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disabilities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and ex-offenders.</w:t>
            </w:r>
          </w:p>
          <w:p w14:paraId="356BFC60" w14:textId="77777777" w:rsidR="000F29CC" w:rsidRDefault="000F29CC">
            <w:pPr>
              <w:pStyle w:val="TableParagraph"/>
              <w:ind w:left="0"/>
              <w:rPr>
                <w:rFonts w:ascii="Arial"/>
                <w:b/>
                <w:sz w:val="23"/>
              </w:rPr>
            </w:pPr>
          </w:p>
          <w:p w14:paraId="0ABDAE1E" w14:textId="77777777" w:rsidR="000F29CC" w:rsidRDefault="00D0295E">
            <w:pPr>
              <w:pStyle w:val="TableParagraph"/>
              <w:spacing w:line="276" w:lineRule="auto"/>
              <w:ind w:left="107" w:right="95"/>
              <w:jc w:val="both"/>
              <w:rPr>
                <w:sz w:val="20"/>
              </w:rPr>
            </w:pPr>
            <w:r>
              <w:rPr>
                <w:spacing w:val="-1"/>
                <w:sz w:val="20"/>
              </w:rPr>
              <w:t>As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co-Chair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of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the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Multi-Ministry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Taskforce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on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Covid-19,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DPM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Wong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made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many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key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decisions</w:t>
            </w:r>
            <w:r>
              <w:rPr>
                <w:spacing w:val="-54"/>
                <w:sz w:val="20"/>
              </w:rPr>
              <w:t xml:space="preserve"> </w:t>
            </w:r>
            <w:r>
              <w:rPr>
                <w:sz w:val="20"/>
              </w:rPr>
              <w:t>to protect workers and their livelihoods. He successfully guided Singapore through the crisis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of a generation, and helped Singapore workers bounce back stronger from the pandemic. In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particular, he extended the Jobs Growth Incentive Scheme to support the recovery of the</w:t>
            </w:r>
            <w:r>
              <w:rPr>
                <w:spacing w:val="1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labour</w:t>
            </w:r>
            <w:proofErr w:type="spellEnd"/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market,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especially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more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vulnerable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workers.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His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continued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focus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on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driving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Singapore’s economic growth amidst a more challenging external environment also assures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workers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good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jobs for the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future.</w:t>
            </w:r>
          </w:p>
          <w:p w14:paraId="29CD7411" w14:textId="77777777" w:rsidR="000F29CC" w:rsidRDefault="000F29CC">
            <w:pPr>
              <w:pStyle w:val="TableParagraph"/>
              <w:spacing w:before="10"/>
              <w:ind w:left="0"/>
              <w:rPr>
                <w:rFonts w:ascii="Arial"/>
                <w:b/>
              </w:rPr>
            </w:pPr>
          </w:p>
          <w:p w14:paraId="49EA685F" w14:textId="77777777" w:rsidR="000F29CC" w:rsidRDefault="00D0295E">
            <w:pPr>
              <w:pStyle w:val="TableParagraph"/>
              <w:spacing w:line="276" w:lineRule="auto"/>
              <w:ind w:left="108" w:right="97"/>
              <w:jc w:val="both"/>
              <w:rPr>
                <w:sz w:val="20"/>
              </w:rPr>
            </w:pPr>
            <w:r>
              <w:rPr>
                <w:sz w:val="20"/>
              </w:rPr>
              <w:t>Under the Forward Singapore exercise, DPM Wong has highlighted the need to strengthen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our society’s compact with workers. He has worked with unions to ensure the concerns and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aspirations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workers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are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well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represented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in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exercise,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such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as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through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NTUC’s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#EveryWorkerMatters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Conversation.</w:t>
            </w:r>
          </w:p>
          <w:p w14:paraId="40B2E731" w14:textId="77777777" w:rsidR="000F29CC" w:rsidRDefault="000F29CC">
            <w:pPr>
              <w:pStyle w:val="TableParagraph"/>
              <w:ind w:left="0"/>
              <w:rPr>
                <w:rFonts w:ascii="Arial"/>
                <w:b/>
                <w:sz w:val="23"/>
              </w:rPr>
            </w:pPr>
          </w:p>
          <w:p w14:paraId="2A5C251C" w14:textId="77777777" w:rsidR="000F29CC" w:rsidRDefault="00D0295E">
            <w:pPr>
              <w:pStyle w:val="TableParagraph"/>
              <w:spacing w:line="276" w:lineRule="auto"/>
              <w:ind w:left="107" w:right="96"/>
              <w:jc w:val="both"/>
              <w:rPr>
                <w:sz w:val="20"/>
              </w:rPr>
            </w:pPr>
            <w:r>
              <w:rPr>
                <w:sz w:val="20"/>
              </w:rPr>
              <w:t>As Deputy Secretary-General of the People’s Action Party and leader of its 4G team, DPM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Wong has placed emphasis on strengthening the PAP-NTUC symbiotic relationship, and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putting workers at the </w:t>
            </w:r>
            <w:proofErr w:type="spellStart"/>
            <w:r>
              <w:rPr>
                <w:sz w:val="20"/>
              </w:rPr>
              <w:t>centre</w:t>
            </w:r>
            <w:proofErr w:type="spellEnd"/>
            <w:r>
              <w:rPr>
                <w:sz w:val="20"/>
              </w:rPr>
              <w:t xml:space="preserve"> of everything the PAP does. As the Chairman of Singapore</w:t>
            </w:r>
            <w:r>
              <w:rPr>
                <w:spacing w:val="1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Labour</w:t>
            </w:r>
            <w:proofErr w:type="spellEnd"/>
            <w:r>
              <w:rPr>
                <w:spacing w:val="30"/>
                <w:sz w:val="20"/>
              </w:rPr>
              <w:t xml:space="preserve"> </w:t>
            </w:r>
            <w:r>
              <w:rPr>
                <w:sz w:val="20"/>
              </w:rPr>
              <w:t>Foundation</w:t>
            </w:r>
            <w:r>
              <w:rPr>
                <w:spacing w:val="32"/>
                <w:sz w:val="20"/>
              </w:rPr>
              <w:t xml:space="preserve"> </w:t>
            </w:r>
            <w:r>
              <w:rPr>
                <w:sz w:val="20"/>
              </w:rPr>
              <w:t>since</w:t>
            </w:r>
            <w:r>
              <w:rPr>
                <w:spacing w:val="35"/>
                <w:sz w:val="20"/>
              </w:rPr>
              <w:t xml:space="preserve"> </w:t>
            </w:r>
            <w:r>
              <w:rPr>
                <w:sz w:val="20"/>
              </w:rPr>
              <w:t>2018,</w:t>
            </w:r>
            <w:r>
              <w:rPr>
                <w:spacing w:val="30"/>
                <w:sz w:val="20"/>
              </w:rPr>
              <w:t xml:space="preserve"> </w:t>
            </w:r>
            <w:r>
              <w:rPr>
                <w:sz w:val="20"/>
              </w:rPr>
              <w:t>he</w:t>
            </w:r>
            <w:r>
              <w:rPr>
                <w:spacing w:val="32"/>
                <w:sz w:val="20"/>
              </w:rPr>
              <w:t xml:space="preserve"> </w:t>
            </w:r>
            <w:r>
              <w:rPr>
                <w:sz w:val="20"/>
              </w:rPr>
              <w:t>has</w:t>
            </w:r>
            <w:r>
              <w:rPr>
                <w:spacing w:val="34"/>
                <w:sz w:val="20"/>
              </w:rPr>
              <w:t xml:space="preserve"> </w:t>
            </w:r>
            <w:r>
              <w:rPr>
                <w:sz w:val="20"/>
              </w:rPr>
              <w:t>played</w:t>
            </w:r>
            <w:r>
              <w:rPr>
                <w:spacing w:val="32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29"/>
                <w:sz w:val="20"/>
              </w:rPr>
              <w:t xml:space="preserve"> </w:t>
            </w:r>
            <w:r>
              <w:rPr>
                <w:sz w:val="20"/>
              </w:rPr>
              <w:t>crucial</w:t>
            </w:r>
            <w:r>
              <w:rPr>
                <w:spacing w:val="32"/>
                <w:sz w:val="20"/>
              </w:rPr>
              <w:t xml:space="preserve"> </w:t>
            </w:r>
            <w:r>
              <w:rPr>
                <w:sz w:val="20"/>
              </w:rPr>
              <w:t>role</w:t>
            </w:r>
            <w:r>
              <w:rPr>
                <w:spacing w:val="32"/>
                <w:sz w:val="20"/>
              </w:rPr>
              <w:t xml:space="preserve"> </w:t>
            </w:r>
            <w:r>
              <w:rPr>
                <w:sz w:val="20"/>
              </w:rPr>
              <w:t>in</w:t>
            </w:r>
            <w:r>
              <w:rPr>
                <w:spacing w:val="32"/>
                <w:sz w:val="20"/>
              </w:rPr>
              <w:t xml:space="preserve"> </w:t>
            </w:r>
            <w:r>
              <w:rPr>
                <w:sz w:val="20"/>
              </w:rPr>
              <w:t>sharpening</w:t>
            </w:r>
            <w:r>
              <w:rPr>
                <w:spacing w:val="32"/>
                <w:sz w:val="20"/>
              </w:rPr>
              <w:t xml:space="preserve"> </w:t>
            </w:r>
            <w:r>
              <w:rPr>
                <w:sz w:val="20"/>
              </w:rPr>
              <w:t>its</w:t>
            </w:r>
            <w:r>
              <w:rPr>
                <w:spacing w:val="34"/>
                <w:sz w:val="20"/>
              </w:rPr>
              <w:t xml:space="preserve"> </w:t>
            </w:r>
            <w:r>
              <w:rPr>
                <w:sz w:val="20"/>
              </w:rPr>
              <w:t>focus</w:t>
            </w:r>
            <w:r>
              <w:rPr>
                <w:spacing w:val="34"/>
                <w:sz w:val="20"/>
              </w:rPr>
              <w:t xml:space="preserve"> </w:t>
            </w:r>
            <w:r>
              <w:rPr>
                <w:sz w:val="20"/>
              </w:rPr>
              <w:t>as</w:t>
            </w:r>
            <w:r>
              <w:rPr>
                <w:spacing w:val="30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</w:p>
          <w:p w14:paraId="2C0862A3" w14:textId="77777777" w:rsidR="000F29CC" w:rsidRDefault="00D0295E">
            <w:pPr>
              <w:pStyle w:val="TableParagraph"/>
              <w:ind w:left="108"/>
              <w:jc w:val="both"/>
              <w:rPr>
                <w:sz w:val="20"/>
              </w:rPr>
            </w:pPr>
            <w:r>
              <w:rPr>
                <w:sz w:val="20"/>
              </w:rPr>
              <w:t>financial</w:t>
            </w:r>
            <w:r>
              <w:rPr>
                <w:spacing w:val="18"/>
                <w:sz w:val="20"/>
              </w:rPr>
              <w:t xml:space="preserve"> </w:t>
            </w:r>
            <w:r>
              <w:rPr>
                <w:sz w:val="20"/>
              </w:rPr>
              <w:t>steward</w:t>
            </w:r>
            <w:r>
              <w:rPr>
                <w:spacing w:val="20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20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20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Labour</w:t>
            </w:r>
            <w:proofErr w:type="spellEnd"/>
            <w:r>
              <w:rPr>
                <w:spacing w:val="21"/>
                <w:sz w:val="20"/>
              </w:rPr>
              <w:t xml:space="preserve"> </w:t>
            </w:r>
            <w:r>
              <w:rPr>
                <w:sz w:val="20"/>
              </w:rPr>
              <w:t>Movement,</w:t>
            </w:r>
            <w:r>
              <w:rPr>
                <w:spacing w:val="20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22"/>
                <w:sz w:val="20"/>
              </w:rPr>
              <w:t xml:space="preserve"> </w:t>
            </w:r>
            <w:r>
              <w:rPr>
                <w:sz w:val="20"/>
              </w:rPr>
              <w:t>in</w:t>
            </w:r>
            <w:r>
              <w:rPr>
                <w:spacing w:val="20"/>
                <w:sz w:val="20"/>
              </w:rPr>
              <w:t xml:space="preserve"> </w:t>
            </w:r>
            <w:r>
              <w:rPr>
                <w:sz w:val="20"/>
              </w:rPr>
              <w:t>providing</w:t>
            </w:r>
            <w:r>
              <w:rPr>
                <w:spacing w:val="20"/>
                <w:sz w:val="20"/>
              </w:rPr>
              <w:t xml:space="preserve"> </w:t>
            </w:r>
            <w:r>
              <w:rPr>
                <w:sz w:val="20"/>
              </w:rPr>
              <w:t>continued</w:t>
            </w:r>
            <w:r>
              <w:rPr>
                <w:spacing w:val="20"/>
                <w:sz w:val="20"/>
              </w:rPr>
              <w:t xml:space="preserve"> </w:t>
            </w:r>
            <w:r>
              <w:rPr>
                <w:sz w:val="20"/>
              </w:rPr>
              <w:t>financial</w:t>
            </w:r>
            <w:r>
              <w:rPr>
                <w:spacing w:val="21"/>
                <w:sz w:val="20"/>
              </w:rPr>
              <w:t xml:space="preserve"> </w:t>
            </w:r>
            <w:r>
              <w:rPr>
                <w:sz w:val="20"/>
              </w:rPr>
              <w:t>support</w:t>
            </w:r>
            <w:r>
              <w:rPr>
                <w:spacing w:val="20"/>
                <w:sz w:val="20"/>
              </w:rPr>
              <w:t xml:space="preserve"> </w:t>
            </w:r>
            <w:r>
              <w:rPr>
                <w:sz w:val="20"/>
              </w:rPr>
              <w:t>for</w:t>
            </w:r>
          </w:p>
        </w:tc>
      </w:tr>
    </w:tbl>
    <w:p w14:paraId="603551B7" w14:textId="77777777" w:rsidR="000F29CC" w:rsidRDefault="000F29CC">
      <w:pPr>
        <w:jc w:val="both"/>
        <w:rPr>
          <w:sz w:val="20"/>
        </w:rPr>
        <w:sectPr w:rsidR="000F29CC">
          <w:headerReference w:type="default" r:id="rId7"/>
          <w:footerReference w:type="default" r:id="rId8"/>
          <w:pgSz w:w="11910" w:h="16840"/>
          <w:pgMar w:top="2600" w:right="1180" w:bottom="1200" w:left="1320" w:header="720" w:footer="1020" w:gutter="0"/>
          <w:cols w:space="720"/>
        </w:sectPr>
      </w:pPr>
    </w:p>
    <w:p w14:paraId="788CBD48" w14:textId="77777777" w:rsidR="000F29CC" w:rsidRDefault="000F29CC">
      <w:pPr>
        <w:pStyle w:val="BodyText"/>
        <w:spacing w:before="4"/>
        <w:rPr>
          <w:rFonts w:ascii="Arial"/>
          <w:b/>
        </w:rPr>
      </w:pPr>
    </w:p>
    <w:tbl>
      <w:tblPr>
        <w:tblW w:w="0" w:type="auto"/>
        <w:tblInd w:w="130" w:type="dxa"/>
        <w:tblBorders>
          <w:top w:val="single" w:sz="4" w:space="0" w:color="EDEBE0"/>
          <w:left w:val="single" w:sz="4" w:space="0" w:color="EDEBE0"/>
          <w:bottom w:val="single" w:sz="4" w:space="0" w:color="EDEBE0"/>
          <w:right w:val="single" w:sz="4" w:space="0" w:color="EDEBE0"/>
          <w:insideH w:val="single" w:sz="4" w:space="0" w:color="EDEBE0"/>
          <w:insideV w:val="single" w:sz="4" w:space="0" w:color="EDEBE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35"/>
        <w:gridCol w:w="8460"/>
      </w:tblGrid>
      <w:tr w:rsidR="000F29CC" w14:paraId="3D48B709" w14:textId="77777777">
        <w:trPr>
          <w:trHeight w:val="1617"/>
        </w:trPr>
        <w:tc>
          <w:tcPr>
            <w:tcW w:w="535" w:type="dxa"/>
          </w:tcPr>
          <w:p w14:paraId="4A467143" w14:textId="77777777" w:rsidR="000F29CC" w:rsidRDefault="000F29CC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  <w:tc>
          <w:tcPr>
            <w:tcW w:w="8460" w:type="dxa"/>
          </w:tcPr>
          <w:p w14:paraId="0B73E5CB" w14:textId="77777777" w:rsidR="000F29CC" w:rsidRDefault="00D0295E">
            <w:pPr>
              <w:pStyle w:val="TableParagraph"/>
              <w:spacing w:before="16" w:line="276" w:lineRule="auto"/>
              <w:ind w:left="108"/>
              <w:rPr>
                <w:sz w:val="20"/>
              </w:rPr>
            </w:pPr>
            <w:r>
              <w:rPr>
                <w:sz w:val="20"/>
              </w:rPr>
              <w:t>NTUC’s</w:t>
            </w:r>
            <w:r>
              <w:rPr>
                <w:spacing w:val="22"/>
                <w:sz w:val="20"/>
              </w:rPr>
              <w:t xml:space="preserve"> </w:t>
            </w:r>
            <w:r>
              <w:rPr>
                <w:sz w:val="20"/>
              </w:rPr>
              <w:t>initiatives.</w:t>
            </w:r>
            <w:r>
              <w:rPr>
                <w:spacing w:val="21"/>
                <w:sz w:val="20"/>
              </w:rPr>
              <w:t xml:space="preserve"> </w:t>
            </w:r>
            <w:r>
              <w:rPr>
                <w:sz w:val="20"/>
              </w:rPr>
              <w:t>His</w:t>
            </w:r>
            <w:r>
              <w:rPr>
                <w:spacing w:val="22"/>
                <w:sz w:val="20"/>
              </w:rPr>
              <w:t xml:space="preserve"> </w:t>
            </w:r>
            <w:r>
              <w:rPr>
                <w:sz w:val="20"/>
              </w:rPr>
              <w:t>leadership</w:t>
            </w:r>
            <w:r>
              <w:rPr>
                <w:spacing w:val="20"/>
                <w:sz w:val="20"/>
              </w:rPr>
              <w:t xml:space="preserve"> </w:t>
            </w:r>
            <w:r>
              <w:rPr>
                <w:sz w:val="20"/>
              </w:rPr>
              <w:t>has</w:t>
            </w:r>
            <w:r>
              <w:rPr>
                <w:spacing w:val="22"/>
                <w:sz w:val="20"/>
              </w:rPr>
              <w:t xml:space="preserve"> </w:t>
            </w:r>
            <w:r>
              <w:rPr>
                <w:sz w:val="20"/>
              </w:rPr>
              <w:t>enabled</w:t>
            </w:r>
            <w:r>
              <w:rPr>
                <w:spacing w:val="23"/>
                <w:sz w:val="20"/>
              </w:rPr>
              <w:t xml:space="preserve"> </w:t>
            </w:r>
            <w:r>
              <w:rPr>
                <w:sz w:val="20"/>
              </w:rPr>
              <w:t>NTUC</w:t>
            </w:r>
            <w:r>
              <w:rPr>
                <w:spacing w:val="21"/>
                <w:sz w:val="20"/>
              </w:rPr>
              <w:t xml:space="preserve"> </w:t>
            </w:r>
            <w:r>
              <w:rPr>
                <w:sz w:val="20"/>
              </w:rPr>
              <w:t>to</w:t>
            </w:r>
            <w:r>
              <w:rPr>
                <w:spacing w:val="20"/>
                <w:sz w:val="20"/>
              </w:rPr>
              <w:t xml:space="preserve"> </w:t>
            </w:r>
            <w:r>
              <w:rPr>
                <w:sz w:val="20"/>
              </w:rPr>
              <w:t>continue</w:t>
            </w:r>
            <w:r>
              <w:rPr>
                <w:spacing w:val="23"/>
                <w:sz w:val="20"/>
              </w:rPr>
              <w:t xml:space="preserve"> </w:t>
            </w:r>
            <w:r>
              <w:rPr>
                <w:sz w:val="20"/>
              </w:rPr>
              <w:t>being</w:t>
            </w:r>
            <w:r>
              <w:rPr>
                <w:spacing w:val="23"/>
                <w:sz w:val="20"/>
              </w:rPr>
              <w:t xml:space="preserve"> </w:t>
            </w:r>
            <w:r>
              <w:rPr>
                <w:sz w:val="20"/>
              </w:rPr>
              <w:t>an</w:t>
            </w:r>
            <w:r>
              <w:rPr>
                <w:spacing w:val="20"/>
                <w:sz w:val="20"/>
              </w:rPr>
              <w:t xml:space="preserve"> </w:t>
            </w:r>
            <w:r>
              <w:rPr>
                <w:sz w:val="20"/>
              </w:rPr>
              <w:t>effective</w:t>
            </w:r>
            <w:r>
              <w:rPr>
                <w:spacing w:val="-53"/>
                <w:sz w:val="20"/>
              </w:rPr>
              <w:t xml:space="preserve"> </w:t>
            </w:r>
            <w:r>
              <w:rPr>
                <w:sz w:val="20"/>
              </w:rPr>
              <w:t>representative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voice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for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workers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credible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partner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Government.</w:t>
            </w:r>
          </w:p>
          <w:p w14:paraId="7843570A" w14:textId="77777777" w:rsidR="000F29CC" w:rsidRDefault="000F29CC">
            <w:pPr>
              <w:pStyle w:val="TableParagraph"/>
              <w:spacing w:before="10"/>
              <w:ind w:left="0"/>
              <w:rPr>
                <w:rFonts w:ascii="Arial"/>
                <w:b/>
              </w:rPr>
            </w:pPr>
          </w:p>
          <w:p w14:paraId="4A6F009C" w14:textId="77777777" w:rsidR="000F29CC" w:rsidRDefault="00D0295E">
            <w:pPr>
              <w:pStyle w:val="TableParagraph"/>
              <w:spacing w:line="276" w:lineRule="auto"/>
              <w:ind w:left="108"/>
              <w:rPr>
                <w:sz w:val="20"/>
              </w:rPr>
            </w:pPr>
            <w:r>
              <w:rPr>
                <w:sz w:val="20"/>
              </w:rPr>
              <w:t>DPM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Wong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has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had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long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association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with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9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Labour</w:t>
            </w:r>
            <w:proofErr w:type="spellEnd"/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Movement.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He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has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been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union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advisor</w:t>
            </w:r>
            <w:r>
              <w:rPr>
                <w:spacing w:val="-52"/>
                <w:sz w:val="20"/>
              </w:rPr>
              <w:t xml:space="preserve"> </w:t>
            </w:r>
            <w:r>
              <w:rPr>
                <w:sz w:val="20"/>
              </w:rPr>
              <w:t>to</w:t>
            </w:r>
            <w:r>
              <w:rPr>
                <w:spacing w:val="37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38"/>
                <w:sz w:val="20"/>
              </w:rPr>
              <w:t xml:space="preserve"> </w:t>
            </w:r>
            <w:r>
              <w:rPr>
                <w:sz w:val="20"/>
              </w:rPr>
              <w:t>Union</w:t>
            </w:r>
            <w:r>
              <w:rPr>
                <w:spacing w:val="37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41"/>
                <w:sz w:val="20"/>
              </w:rPr>
              <w:t xml:space="preserve"> </w:t>
            </w:r>
            <w:r>
              <w:rPr>
                <w:sz w:val="20"/>
              </w:rPr>
              <w:t>Power</w:t>
            </w:r>
            <w:r>
              <w:rPr>
                <w:spacing w:val="39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37"/>
                <w:sz w:val="20"/>
              </w:rPr>
              <w:t xml:space="preserve"> </w:t>
            </w:r>
            <w:r>
              <w:rPr>
                <w:sz w:val="20"/>
              </w:rPr>
              <w:t>Gas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Employees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since</w:t>
            </w:r>
            <w:r>
              <w:rPr>
                <w:spacing w:val="37"/>
                <w:sz w:val="20"/>
              </w:rPr>
              <w:t xml:space="preserve"> </w:t>
            </w:r>
            <w:r>
              <w:rPr>
                <w:sz w:val="20"/>
              </w:rPr>
              <w:t>2011,</w:t>
            </w:r>
            <w:r>
              <w:rPr>
                <w:spacing w:val="41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more</w:t>
            </w:r>
            <w:r>
              <w:rPr>
                <w:spacing w:val="37"/>
                <w:sz w:val="20"/>
              </w:rPr>
              <w:t xml:space="preserve"> </w:t>
            </w:r>
            <w:r>
              <w:rPr>
                <w:sz w:val="20"/>
              </w:rPr>
              <w:t>recently,</w:t>
            </w:r>
            <w:r>
              <w:rPr>
                <w:spacing w:val="38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37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Building</w:t>
            </w:r>
            <w:proofErr w:type="gramEnd"/>
          </w:p>
          <w:p w14:paraId="1F7742C1" w14:textId="77777777" w:rsidR="000F29CC" w:rsidRDefault="00D0295E">
            <w:pPr>
              <w:pStyle w:val="TableParagraph"/>
              <w:spacing w:before="1"/>
              <w:ind w:left="108"/>
              <w:rPr>
                <w:sz w:val="20"/>
              </w:rPr>
            </w:pPr>
            <w:r>
              <w:rPr>
                <w:sz w:val="20"/>
              </w:rPr>
              <w:t>Construction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Timber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Industries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Employees’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Union.</w:t>
            </w:r>
          </w:p>
        </w:tc>
      </w:tr>
    </w:tbl>
    <w:p w14:paraId="29A2B4B4" w14:textId="77777777" w:rsidR="00B63D28" w:rsidRDefault="00B63D28"/>
    <w:sectPr w:rsidR="00B63D28">
      <w:pgSz w:w="11910" w:h="16840"/>
      <w:pgMar w:top="2600" w:right="1180" w:bottom="1200" w:left="1320" w:header="720" w:footer="10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DFEF495" w14:textId="77777777" w:rsidR="005340E8" w:rsidRDefault="005340E8">
      <w:r>
        <w:separator/>
      </w:r>
    </w:p>
  </w:endnote>
  <w:endnote w:type="continuationSeparator" w:id="0">
    <w:p w14:paraId="6C19B7E9" w14:textId="77777777" w:rsidR="005340E8" w:rsidRDefault="005340E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 MT">
    <w:altName w:val="Arial"/>
    <w:charset w:val="01"/>
    <w:family w:val="swiss"/>
    <w:pitch w:val="variable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798B72" w14:textId="77777777" w:rsidR="000F29CC" w:rsidRDefault="008148B7">
    <w:pPr>
      <w:pStyle w:val="BodyText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8752" behindDoc="1" locked="0" layoutInCell="1" allowOverlap="1" wp14:anchorId="53A4C824" wp14:editId="739EF66D">
              <wp:simplePos x="0" y="0"/>
              <wp:positionH relativeFrom="page">
                <wp:posOffset>6531610</wp:posOffset>
              </wp:positionH>
              <wp:positionV relativeFrom="page">
                <wp:posOffset>9902190</wp:posOffset>
              </wp:positionV>
              <wp:extent cx="154305" cy="182245"/>
              <wp:effectExtent l="0" t="0" r="0" b="0"/>
              <wp:wrapNone/>
              <wp:docPr id="147995328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54305" cy="18224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4609C46" w14:textId="77777777" w:rsidR="000F29CC" w:rsidRDefault="00D0295E">
                          <w:pPr>
                            <w:spacing w:before="13"/>
                            <w:ind w:left="60"/>
                          </w:pP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8BD7FA6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514.3pt;margin-top:779.7pt;width:12.15pt;height:14.35pt;z-index:-2516577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" filled="f" stroked="f">
              <v:textbox inset="0,0,0,0">
                <w:txbxContent>
                  <w:p w:rsidR="000F29CC" w:rsidRDefault="00D0295E">
                    <w:pPr>
                      <w:spacing w:before="13"/>
                      <w:ind w:left="60"/>
                    </w:pP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573FE0B" w14:textId="77777777" w:rsidR="005340E8" w:rsidRDefault="005340E8">
      <w:r>
        <w:separator/>
      </w:r>
    </w:p>
  </w:footnote>
  <w:footnote w:type="continuationSeparator" w:id="0">
    <w:p w14:paraId="5550587B" w14:textId="77777777" w:rsidR="005340E8" w:rsidRDefault="005340E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FAA4552" w14:textId="77777777" w:rsidR="000F29CC" w:rsidRDefault="00D0295E">
    <w:pPr>
      <w:pStyle w:val="BodyText"/>
      <w:spacing w:line="14" w:lineRule="auto"/>
      <w:rPr>
        <w:sz w:val="20"/>
      </w:rPr>
    </w:pPr>
    <w:r>
      <w:rPr>
        <w:noProof/>
      </w:rPr>
      <w:drawing>
        <wp:anchor distT="0" distB="0" distL="0" distR="0" simplePos="0" relativeHeight="251656704" behindDoc="1" locked="0" layoutInCell="1" allowOverlap="1" wp14:anchorId="0043711E" wp14:editId="36573C9A">
          <wp:simplePos x="0" y="0"/>
          <wp:positionH relativeFrom="page">
            <wp:posOffset>5731511</wp:posOffset>
          </wp:positionH>
          <wp:positionV relativeFrom="page">
            <wp:posOffset>457201</wp:posOffset>
          </wp:positionV>
          <wp:extent cx="914386" cy="876298"/>
          <wp:effectExtent l="0" t="0" r="0" b="0"/>
          <wp:wrapNone/>
          <wp:docPr id="1" name="image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914386" cy="876298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0" distR="0" simplePos="0" relativeHeight="251657728" behindDoc="1" locked="0" layoutInCell="1" allowOverlap="1" wp14:anchorId="4BBCBC55" wp14:editId="2291EFAF">
          <wp:simplePos x="0" y="0"/>
          <wp:positionH relativeFrom="page">
            <wp:posOffset>914400</wp:posOffset>
          </wp:positionH>
          <wp:positionV relativeFrom="page">
            <wp:posOffset>800100</wp:posOffset>
          </wp:positionV>
          <wp:extent cx="1142999" cy="533399"/>
          <wp:effectExtent l="0" t="0" r="0" b="0"/>
          <wp:wrapNone/>
          <wp:docPr id="3" name="image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image2.png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1142999" cy="533399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34E3189"/>
    <w:multiLevelType w:val="hybridMultilevel"/>
    <w:tmpl w:val="3A5408FC"/>
    <w:lvl w:ilvl="0" w:tplc="15E69100">
      <w:start w:val="1"/>
      <w:numFmt w:val="decimal"/>
      <w:lvlText w:val="%1"/>
      <w:lvlJc w:val="left"/>
      <w:pPr>
        <w:ind w:left="120" w:hanging="720"/>
        <w:jc w:val="left"/>
      </w:pPr>
      <w:rPr>
        <w:rFonts w:ascii="Arial MT" w:eastAsia="Arial MT" w:hAnsi="Arial MT" w:cs="Arial MT" w:hint="default"/>
        <w:w w:val="100"/>
        <w:sz w:val="24"/>
        <w:szCs w:val="24"/>
        <w:lang w:val="en-US" w:eastAsia="en-US" w:bidi="ar-SA"/>
      </w:rPr>
    </w:lvl>
    <w:lvl w:ilvl="1" w:tplc="1F9CF494">
      <w:start w:val="1"/>
      <w:numFmt w:val="lowerLetter"/>
      <w:lvlText w:val="%2)"/>
      <w:lvlJc w:val="left"/>
      <w:pPr>
        <w:ind w:left="1291" w:hanging="452"/>
        <w:jc w:val="left"/>
      </w:pPr>
      <w:rPr>
        <w:rFonts w:ascii="Arial MT" w:eastAsia="Arial MT" w:hAnsi="Arial MT" w:cs="Arial MT" w:hint="default"/>
        <w:w w:val="100"/>
        <w:sz w:val="24"/>
        <w:szCs w:val="24"/>
        <w:lang w:val="en-US" w:eastAsia="en-US" w:bidi="ar-SA"/>
      </w:rPr>
    </w:lvl>
    <w:lvl w:ilvl="2" w:tplc="5880A256">
      <w:numFmt w:val="bullet"/>
      <w:lvlText w:val="•"/>
      <w:lvlJc w:val="left"/>
      <w:pPr>
        <w:ind w:left="2200" w:hanging="452"/>
      </w:pPr>
      <w:rPr>
        <w:rFonts w:hint="default"/>
        <w:lang w:val="en-US" w:eastAsia="en-US" w:bidi="ar-SA"/>
      </w:rPr>
    </w:lvl>
    <w:lvl w:ilvl="3" w:tplc="26E6B2CC">
      <w:numFmt w:val="bullet"/>
      <w:lvlText w:val="•"/>
      <w:lvlJc w:val="left"/>
      <w:pPr>
        <w:ind w:left="3101" w:hanging="452"/>
      </w:pPr>
      <w:rPr>
        <w:rFonts w:hint="default"/>
        <w:lang w:val="en-US" w:eastAsia="en-US" w:bidi="ar-SA"/>
      </w:rPr>
    </w:lvl>
    <w:lvl w:ilvl="4" w:tplc="F11C8994">
      <w:numFmt w:val="bullet"/>
      <w:lvlText w:val="•"/>
      <w:lvlJc w:val="left"/>
      <w:pPr>
        <w:ind w:left="4002" w:hanging="452"/>
      </w:pPr>
      <w:rPr>
        <w:rFonts w:hint="default"/>
        <w:lang w:val="en-US" w:eastAsia="en-US" w:bidi="ar-SA"/>
      </w:rPr>
    </w:lvl>
    <w:lvl w:ilvl="5" w:tplc="66FC3942">
      <w:numFmt w:val="bullet"/>
      <w:lvlText w:val="•"/>
      <w:lvlJc w:val="left"/>
      <w:pPr>
        <w:ind w:left="4903" w:hanging="452"/>
      </w:pPr>
      <w:rPr>
        <w:rFonts w:hint="default"/>
        <w:lang w:val="en-US" w:eastAsia="en-US" w:bidi="ar-SA"/>
      </w:rPr>
    </w:lvl>
    <w:lvl w:ilvl="6" w:tplc="FDB82E18">
      <w:numFmt w:val="bullet"/>
      <w:lvlText w:val="•"/>
      <w:lvlJc w:val="left"/>
      <w:pPr>
        <w:ind w:left="5804" w:hanging="452"/>
      </w:pPr>
      <w:rPr>
        <w:rFonts w:hint="default"/>
        <w:lang w:val="en-US" w:eastAsia="en-US" w:bidi="ar-SA"/>
      </w:rPr>
    </w:lvl>
    <w:lvl w:ilvl="7" w:tplc="C82CD0B0">
      <w:numFmt w:val="bullet"/>
      <w:lvlText w:val="•"/>
      <w:lvlJc w:val="left"/>
      <w:pPr>
        <w:ind w:left="6705" w:hanging="452"/>
      </w:pPr>
      <w:rPr>
        <w:rFonts w:hint="default"/>
        <w:lang w:val="en-US" w:eastAsia="en-US" w:bidi="ar-SA"/>
      </w:rPr>
    </w:lvl>
    <w:lvl w:ilvl="8" w:tplc="ADC0138C">
      <w:numFmt w:val="bullet"/>
      <w:lvlText w:val="•"/>
      <w:lvlJc w:val="left"/>
      <w:pPr>
        <w:ind w:left="7606" w:hanging="452"/>
      </w:pPr>
      <w:rPr>
        <w:rFonts w:hint="default"/>
        <w:lang w:val="en-US" w:eastAsia="en-US" w:bidi="ar-SA"/>
      </w:rPr>
    </w:lvl>
  </w:abstractNum>
  <w:num w:numId="1" w16cid:durableId="110330506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F29CC"/>
    <w:rsid w:val="000F29CC"/>
    <w:rsid w:val="005340E8"/>
    <w:rsid w:val="00627C94"/>
    <w:rsid w:val="0073724F"/>
    <w:rsid w:val="007A5768"/>
    <w:rsid w:val="008148B7"/>
    <w:rsid w:val="00990A05"/>
    <w:rsid w:val="00B63D28"/>
    <w:rsid w:val="00D0295E"/>
    <w:rsid w:val="00D872B7"/>
    <w:rsid w:val="00FB31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SG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5C2BA66"/>
  <w15:docId w15:val="{2009A17E-CA34-4221-A668-FBE2DBA377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 MT" w:eastAsia="Arial MT" w:hAnsi="Arial MT" w:cs="Arial MT"/>
    </w:rPr>
  </w:style>
  <w:style w:type="paragraph" w:styleId="Heading1">
    <w:name w:val="heading 1"/>
    <w:basedOn w:val="Normal"/>
    <w:uiPriority w:val="9"/>
    <w:qFormat/>
    <w:pPr>
      <w:ind w:left="120"/>
      <w:outlineLvl w:val="0"/>
    </w:pPr>
    <w:rPr>
      <w:rFonts w:ascii="Arial" w:eastAsia="Arial" w:hAnsi="Arial" w:cs="Arial"/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4"/>
      <w:szCs w:val="24"/>
    </w:rPr>
  </w:style>
  <w:style w:type="paragraph" w:styleId="ListParagraph">
    <w:name w:val="List Paragraph"/>
    <w:basedOn w:val="Normal"/>
    <w:uiPriority w:val="1"/>
    <w:qFormat/>
    <w:pPr>
      <w:ind w:left="120" w:right="254"/>
      <w:jc w:val="both"/>
    </w:pPr>
  </w:style>
  <w:style w:type="paragraph" w:customStyle="1" w:styleId="TableParagraph">
    <w:name w:val="Table Paragraph"/>
    <w:basedOn w:val="Normal"/>
    <w:uiPriority w:val="1"/>
    <w:qFormat/>
    <w:pPr>
      <w:ind w:left="100"/>
    </w:pPr>
  </w:style>
  <w:style w:type="paragraph" w:styleId="Header">
    <w:name w:val="header"/>
    <w:basedOn w:val="Normal"/>
    <w:link w:val="HeaderChar"/>
    <w:uiPriority w:val="99"/>
    <w:unhideWhenUsed/>
    <w:rsid w:val="00D872B7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D872B7"/>
    <w:rPr>
      <w:rFonts w:ascii="Arial MT" w:eastAsia="Arial MT" w:hAnsi="Arial MT" w:cs="Arial MT"/>
    </w:rPr>
  </w:style>
  <w:style w:type="paragraph" w:styleId="Footer">
    <w:name w:val="footer"/>
    <w:basedOn w:val="Normal"/>
    <w:link w:val="FooterChar"/>
    <w:uiPriority w:val="99"/>
    <w:unhideWhenUsed/>
    <w:rsid w:val="00D872B7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872B7"/>
    <w:rPr>
      <w:rFonts w:ascii="Arial MT" w:eastAsia="Arial MT" w:hAnsi="Arial MT" w:cs="Arial MT"/>
    </w:rPr>
  </w:style>
  <w:style w:type="character" w:styleId="Hyperlink">
    <w:name w:val="Hyperlink"/>
    <w:basedOn w:val="DefaultParagraphFont"/>
    <w:uiPriority w:val="99"/>
    <w:unhideWhenUsed/>
    <w:rsid w:val="00FB31BA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FB31B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475</Words>
  <Characters>2712</Characters>
  <Application>Microsoft Office Word</Application>
  <DocSecurity>0</DocSecurity>
  <Lines>22</Lines>
  <Paragraphs>6</Paragraphs>
  <ScaleCrop>false</ScaleCrop>
  <Company/>
  <LinksUpToDate>false</LinksUpToDate>
  <CharactersWithSpaces>3181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ruth</dc:creator>
  <cp:lastModifiedBy>Jamilah Long - STC</cp:lastModifiedBy>
  <cp:revision>2</cp:revision>
  <dcterms:created xsi:type="dcterms:W3CDTF">2023-09-26T04:28:00Z</dcterms:created>
  <dcterms:modified xsi:type="dcterms:W3CDTF">2023-09-26T04:29:00Z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2023-05-16T00:00:00Z</vt:filetime>
  </property>
  <property fmtid="{D5CDD505-2E9C-101B-9397-08002B2CF9AE}" pid="3" name="Creator">
    <vt:lpwstr>Acrobat PDFMaker 23 for Word</vt:lpwstr>
  </property>
  <property fmtid="{D5CDD505-2E9C-101B-9397-08002B2CF9AE}" pid="4" name="LastSaved">
    <vt:filetime>2023-09-25T00:00:00Z</vt:filetime>
  </property>
</Properties>
</file>