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BB9A4" w14:textId="34434899" w:rsidR="00230B6E" w:rsidRPr="00DD55C8" w:rsidRDefault="008E0C71" w:rsidP="003139A1">
      <w:pPr>
        <w:jc w:val="both"/>
        <w:rPr>
          <w:rFonts w:ascii="Arial" w:hAnsi="Arial" w:cs="Arial"/>
          <w:b/>
          <w:bCs/>
          <w:sz w:val="24"/>
          <w:szCs w:val="24"/>
          <w:u w:val="single"/>
        </w:rPr>
      </w:pPr>
      <w:r w:rsidRPr="00DD55C8">
        <w:rPr>
          <w:rFonts w:ascii="Arial" w:hAnsi="Arial" w:cs="Arial"/>
          <w:b/>
          <w:bCs/>
          <w:sz w:val="24"/>
          <w:szCs w:val="24"/>
          <w:u w:val="single"/>
        </w:rPr>
        <w:t>Annex A</w:t>
      </w: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254"/>
        <w:gridCol w:w="7090"/>
      </w:tblGrid>
      <w:tr w:rsidR="00DD55C8" w:rsidRPr="00A10869" w14:paraId="692BE043" w14:textId="77777777" w:rsidTr="1BE8CD4A">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1731CEC4" w14:textId="77777777" w:rsidR="00DD55C8" w:rsidRPr="00A10869" w:rsidRDefault="00DD55C8" w:rsidP="00895ED9">
            <w:pPr>
              <w:spacing w:line="278" w:lineRule="auto"/>
              <w:rPr>
                <w:rFonts w:ascii="Arial" w:hAnsi="Arial" w:cs="Arial"/>
              </w:rPr>
            </w:pPr>
            <w:r w:rsidRPr="00A10869">
              <w:rPr>
                <w:rFonts w:ascii="Arial" w:hAnsi="Arial" w:cs="Arial"/>
                <w:b/>
                <w:bCs/>
              </w:rPr>
              <w:t>Company/Signatory</w:t>
            </w:r>
            <w:r w:rsidRPr="00A10869">
              <w:rPr>
                <w:rFonts w:ascii="Arial" w:hAnsi="Arial" w:cs="Arial"/>
              </w:rPr>
              <w:t> </w:t>
            </w:r>
          </w:p>
        </w:tc>
        <w:tc>
          <w:tcPr>
            <w:tcW w:w="7665" w:type="dxa"/>
            <w:tcBorders>
              <w:top w:val="single" w:sz="6" w:space="0" w:color="auto"/>
              <w:left w:val="single" w:sz="6" w:space="0" w:color="auto"/>
              <w:bottom w:val="single" w:sz="6" w:space="0" w:color="auto"/>
              <w:right w:val="single" w:sz="6" w:space="0" w:color="auto"/>
            </w:tcBorders>
            <w:shd w:val="clear" w:color="auto" w:fill="auto"/>
            <w:hideMark/>
          </w:tcPr>
          <w:p w14:paraId="6CD60287" w14:textId="77777777" w:rsidR="00DD55C8" w:rsidRPr="00A10869" w:rsidRDefault="00DD55C8" w:rsidP="00895ED9">
            <w:pPr>
              <w:spacing w:line="278" w:lineRule="auto"/>
              <w:rPr>
                <w:rFonts w:ascii="Arial" w:hAnsi="Arial" w:cs="Arial"/>
              </w:rPr>
            </w:pPr>
            <w:r w:rsidRPr="00A10869">
              <w:rPr>
                <w:rFonts w:ascii="Arial" w:hAnsi="Arial" w:cs="Arial"/>
                <w:b/>
                <w:bCs/>
              </w:rPr>
              <w:t>Background </w:t>
            </w:r>
            <w:r w:rsidRPr="00A10869">
              <w:rPr>
                <w:rFonts w:ascii="Arial" w:hAnsi="Arial" w:cs="Arial"/>
              </w:rPr>
              <w:t> </w:t>
            </w:r>
          </w:p>
        </w:tc>
      </w:tr>
      <w:tr w:rsidR="00DD55C8" w:rsidRPr="00A10869" w14:paraId="1FA4A118" w14:textId="77777777" w:rsidTr="1BE8CD4A">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534767D8" w14:textId="77777777" w:rsidR="00DD55C8" w:rsidRPr="00DD55C8" w:rsidRDefault="00DD55C8" w:rsidP="00895ED9">
            <w:pPr>
              <w:rPr>
                <w:rFonts w:ascii="Arial" w:hAnsi="Arial" w:cs="Arial"/>
              </w:rPr>
            </w:pPr>
            <w:r w:rsidRPr="00A10869">
              <w:rPr>
                <w:rFonts w:ascii="Arial" w:hAnsi="Arial" w:cs="Arial"/>
                <w:b/>
                <w:bCs/>
              </w:rPr>
              <w:t>Institute of Banking and Finance (IBF) </w:t>
            </w:r>
            <w:r w:rsidRPr="00A10869">
              <w:rPr>
                <w:rFonts w:ascii="Arial" w:hAnsi="Arial" w:cs="Arial"/>
              </w:rPr>
              <w:t> </w:t>
            </w:r>
          </w:p>
          <w:p w14:paraId="7567ACD2" w14:textId="77777777" w:rsidR="00DD55C8" w:rsidRPr="00A10869" w:rsidRDefault="00DD55C8" w:rsidP="00895ED9">
            <w:pPr>
              <w:spacing w:line="278" w:lineRule="auto"/>
              <w:rPr>
                <w:rFonts w:ascii="Arial" w:hAnsi="Arial" w:cs="Arial"/>
              </w:rPr>
            </w:pPr>
          </w:p>
        </w:tc>
        <w:tc>
          <w:tcPr>
            <w:tcW w:w="7665" w:type="dxa"/>
            <w:tcBorders>
              <w:top w:val="single" w:sz="6" w:space="0" w:color="auto"/>
              <w:left w:val="single" w:sz="6" w:space="0" w:color="auto"/>
              <w:bottom w:val="single" w:sz="6" w:space="0" w:color="auto"/>
              <w:right w:val="single" w:sz="6" w:space="0" w:color="auto"/>
            </w:tcBorders>
            <w:shd w:val="clear" w:color="auto" w:fill="auto"/>
            <w:hideMark/>
          </w:tcPr>
          <w:p w14:paraId="255DEEF3" w14:textId="408642CB" w:rsidR="00DD55C8" w:rsidRPr="00A10869" w:rsidRDefault="00DD55C8" w:rsidP="00DD55C8">
            <w:pPr>
              <w:spacing w:line="278" w:lineRule="auto"/>
              <w:jc w:val="both"/>
              <w:rPr>
                <w:rFonts w:ascii="Arial" w:hAnsi="Arial" w:cs="Arial"/>
              </w:rPr>
            </w:pPr>
            <w:r w:rsidRPr="00A10869">
              <w:rPr>
                <w:rFonts w:ascii="Arial" w:hAnsi="Arial" w:cs="Arial"/>
              </w:rPr>
              <w:t>The Institute of Banking and Finance Singapore (IBF) was established in 1974 as a not-for-profit industry association to foster and develop the professional competencies of the financial industry. IBF represents the interests of close to 2</w:t>
            </w:r>
            <w:r w:rsidR="00BF06A7">
              <w:rPr>
                <w:rFonts w:ascii="Arial" w:hAnsi="Arial" w:cs="Arial"/>
              </w:rPr>
              <w:t>5</w:t>
            </w:r>
            <w:r w:rsidRPr="00A10869">
              <w:rPr>
                <w:rFonts w:ascii="Arial" w:hAnsi="Arial" w:cs="Arial"/>
              </w:rPr>
              <w:t>0</w:t>
            </w:r>
            <w:r w:rsidRPr="00DD55C8">
              <w:rPr>
                <w:rFonts w:ascii="Arial" w:hAnsi="Arial" w:cs="Arial"/>
              </w:rPr>
              <w:t>-</w:t>
            </w:r>
            <w:r w:rsidRPr="00A10869">
              <w:rPr>
                <w:rFonts w:ascii="Arial" w:hAnsi="Arial" w:cs="Arial"/>
              </w:rPr>
              <w:t>member financial institutions including banks, insurance companies, securities brokerages and asset management firms. In partnership with the financial industry, government agencies, training providers and the trade unions, IBF is committed to equip practitioners with capabilities to support the growth of Singapore’s financial industry. </w:t>
            </w:r>
          </w:p>
        </w:tc>
      </w:tr>
      <w:tr w:rsidR="00DD55C8" w:rsidRPr="00A10869" w14:paraId="4A830007" w14:textId="77777777" w:rsidTr="1BE8CD4A">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09C4CDC5" w14:textId="77777777" w:rsidR="00DD55C8" w:rsidRPr="00A10869" w:rsidRDefault="00DD55C8" w:rsidP="00895ED9">
            <w:pPr>
              <w:rPr>
                <w:rFonts w:ascii="Arial" w:hAnsi="Arial" w:cs="Arial"/>
              </w:rPr>
            </w:pPr>
            <w:r w:rsidRPr="00A10869">
              <w:rPr>
                <w:rFonts w:ascii="Arial" w:hAnsi="Arial" w:cs="Arial"/>
                <w:b/>
                <w:bCs/>
              </w:rPr>
              <w:t>National Trades Union Congress (NTUC)</w:t>
            </w:r>
            <w:r w:rsidRPr="00A10869">
              <w:rPr>
                <w:rFonts w:ascii="Arial" w:hAnsi="Arial" w:cs="Arial"/>
              </w:rPr>
              <w:t>  </w:t>
            </w:r>
          </w:p>
        </w:tc>
        <w:tc>
          <w:tcPr>
            <w:tcW w:w="7665" w:type="dxa"/>
            <w:tcBorders>
              <w:top w:val="single" w:sz="6" w:space="0" w:color="auto"/>
              <w:left w:val="single" w:sz="6" w:space="0" w:color="auto"/>
              <w:bottom w:val="single" w:sz="6" w:space="0" w:color="auto"/>
              <w:right w:val="single" w:sz="6" w:space="0" w:color="auto"/>
            </w:tcBorders>
            <w:shd w:val="clear" w:color="auto" w:fill="auto"/>
            <w:hideMark/>
          </w:tcPr>
          <w:p w14:paraId="26F5AA77" w14:textId="655BA02A" w:rsidR="00DD55C8" w:rsidRPr="00A10869" w:rsidRDefault="00DD55C8" w:rsidP="00DD55C8">
            <w:pPr>
              <w:spacing w:line="278" w:lineRule="auto"/>
              <w:jc w:val="both"/>
              <w:rPr>
                <w:rFonts w:ascii="Arial" w:hAnsi="Arial" w:cs="Arial"/>
              </w:rPr>
            </w:pPr>
            <w:r w:rsidRPr="00A10869">
              <w:rPr>
                <w:rFonts w:ascii="Arial" w:hAnsi="Arial" w:cs="Arial"/>
              </w:rPr>
              <w:t>Pioneering workers' rights since 1961, the National Trades Union Congress (NTUC) unites 58 trade unions, seven trade associations, seven social enterprises, and other enterprise partners as we create better lives for workers here in Singapore. </w:t>
            </w:r>
          </w:p>
          <w:p w14:paraId="399955F2" w14:textId="77777777" w:rsidR="00DD55C8" w:rsidRPr="00A10869" w:rsidRDefault="00DD55C8" w:rsidP="00DD55C8">
            <w:pPr>
              <w:spacing w:line="278" w:lineRule="auto"/>
              <w:jc w:val="both"/>
              <w:rPr>
                <w:rFonts w:ascii="Arial" w:hAnsi="Arial" w:cs="Arial"/>
              </w:rPr>
            </w:pPr>
            <w:r w:rsidRPr="00A10869">
              <w:rPr>
                <w:rFonts w:ascii="Arial" w:hAnsi="Arial" w:cs="Arial"/>
              </w:rPr>
              <w:t>The work cuts across the different ages and stages of life as we walk the ground and respond to everyday needs. Through initiatives that protect our workers at work, transform careers, manage the cost of living, help with financial resilience and health, and nurture relationships for families, we champion every worker through every touch point as we work towards better wages, welfare, and work prospects. </w:t>
            </w:r>
          </w:p>
        </w:tc>
      </w:tr>
      <w:tr w:rsidR="00DD55C8" w:rsidRPr="00A10869" w14:paraId="28D9FDCE" w14:textId="77777777" w:rsidTr="1BE8CD4A">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1EA4E197" w14:textId="77777777" w:rsidR="00DD55C8" w:rsidRPr="00A10869" w:rsidRDefault="00DD55C8" w:rsidP="00895ED9">
            <w:pPr>
              <w:spacing w:line="278" w:lineRule="auto"/>
              <w:rPr>
                <w:rFonts w:ascii="Arial" w:hAnsi="Arial" w:cs="Arial"/>
              </w:rPr>
            </w:pPr>
            <w:r w:rsidRPr="00A10869">
              <w:rPr>
                <w:rFonts w:ascii="Arial" w:hAnsi="Arial" w:cs="Arial"/>
                <w:b/>
                <w:bCs/>
              </w:rPr>
              <w:t>Association Bank of Singapore (ABS)</w:t>
            </w:r>
            <w:r w:rsidRPr="00A10869">
              <w:rPr>
                <w:rFonts w:ascii="Arial" w:hAnsi="Arial" w:cs="Arial"/>
              </w:rPr>
              <w:t> </w:t>
            </w:r>
          </w:p>
          <w:p w14:paraId="366F178D" w14:textId="77777777" w:rsidR="00DD55C8" w:rsidRPr="00DD55C8" w:rsidRDefault="00DD55C8" w:rsidP="00895ED9">
            <w:pPr>
              <w:rPr>
                <w:rFonts w:ascii="Arial" w:hAnsi="Arial" w:cs="Arial"/>
              </w:rPr>
            </w:pPr>
            <w:r w:rsidRPr="00A10869">
              <w:rPr>
                <w:rFonts w:ascii="Arial" w:hAnsi="Arial" w:cs="Arial"/>
              </w:rPr>
              <w:t> </w:t>
            </w:r>
          </w:p>
          <w:p w14:paraId="5EE750D1" w14:textId="77777777" w:rsidR="00DD55C8" w:rsidRPr="00A10869" w:rsidRDefault="00DD55C8" w:rsidP="00895ED9">
            <w:pPr>
              <w:spacing w:line="278" w:lineRule="auto"/>
              <w:rPr>
                <w:rFonts w:ascii="Arial" w:hAnsi="Arial" w:cs="Arial"/>
              </w:rPr>
            </w:pPr>
          </w:p>
        </w:tc>
        <w:tc>
          <w:tcPr>
            <w:tcW w:w="7665" w:type="dxa"/>
            <w:tcBorders>
              <w:top w:val="single" w:sz="6" w:space="0" w:color="auto"/>
              <w:left w:val="single" w:sz="6" w:space="0" w:color="auto"/>
              <w:bottom w:val="single" w:sz="6" w:space="0" w:color="auto"/>
              <w:right w:val="single" w:sz="6" w:space="0" w:color="auto"/>
            </w:tcBorders>
            <w:shd w:val="clear" w:color="auto" w:fill="auto"/>
            <w:hideMark/>
          </w:tcPr>
          <w:p w14:paraId="02AFFB18" w14:textId="66F4A429" w:rsidR="00DD55C8" w:rsidRPr="00A10869" w:rsidRDefault="00DD55C8" w:rsidP="00DD55C8">
            <w:pPr>
              <w:spacing w:line="278" w:lineRule="auto"/>
              <w:jc w:val="both"/>
              <w:rPr>
                <w:rFonts w:ascii="Arial" w:hAnsi="Arial" w:cs="Arial"/>
              </w:rPr>
            </w:pPr>
            <w:r w:rsidRPr="00A10869">
              <w:rPr>
                <w:rFonts w:ascii="Arial" w:hAnsi="Arial" w:cs="Arial"/>
              </w:rPr>
              <w:t>The Association of Banks in Singapore (ABS) is a non-profit organisation that represents the interests of the commercial and investment banking community. As of 31 December 2023, our membership comprised 154 local and foreign banks/institutions and representative offices operating in Singapore</w:t>
            </w:r>
            <w:r w:rsidRPr="00DD55C8">
              <w:rPr>
                <w:rFonts w:ascii="Arial" w:hAnsi="Arial" w:cs="Arial"/>
              </w:rPr>
              <w:t>.</w:t>
            </w:r>
            <w:r w:rsidRPr="00A10869">
              <w:rPr>
                <w:rFonts w:ascii="Arial" w:hAnsi="Arial" w:cs="Arial"/>
              </w:rPr>
              <w:t> </w:t>
            </w:r>
          </w:p>
          <w:p w14:paraId="34407BCC" w14:textId="124DC393" w:rsidR="00DD55C8" w:rsidRPr="00A10869" w:rsidRDefault="00DD55C8" w:rsidP="00DD55C8">
            <w:pPr>
              <w:spacing w:line="278" w:lineRule="auto"/>
              <w:jc w:val="both"/>
              <w:rPr>
                <w:rFonts w:ascii="Arial" w:hAnsi="Arial" w:cs="Arial"/>
              </w:rPr>
            </w:pPr>
            <w:r w:rsidRPr="00A10869">
              <w:rPr>
                <w:rFonts w:ascii="Arial" w:hAnsi="Arial" w:cs="Arial"/>
              </w:rPr>
              <w:t xml:space="preserve">Roles </w:t>
            </w:r>
            <w:proofErr w:type="gramStart"/>
            <w:r w:rsidRPr="00A10869">
              <w:rPr>
                <w:rFonts w:ascii="Arial" w:hAnsi="Arial" w:cs="Arial"/>
              </w:rPr>
              <w:t>include:</w:t>
            </w:r>
            <w:proofErr w:type="gramEnd"/>
            <w:r w:rsidRPr="00A10869">
              <w:rPr>
                <w:rFonts w:ascii="Arial" w:hAnsi="Arial" w:cs="Arial"/>
              </w:rPr>
              <w:t xml:space="preserve"> Representing the Commercial and Investment Banking Industry, Upholding the Integrity of Members, Building Relationships within the Industry, Collaborating with Regional and International Organisations</w:t>
            </w:r>
            <w:r w:rsidRPr="00DD55C8">
              <w:rPr>
                <w:rFonts w:ascii="Arial" w:hAnsi="Arial" w:cs="Arial"/>
              </w:rPr>
              <w:t>.</w:t>
            </w:r>
          </w:p>
        </w:tc>
      </w:tr>
      <w:tr w:rsidR="00DD55C8" w:rsidRPr="00A10869" w14:paraId="71B60CAB" w14:textId="77777777" w:rsidTr="1BE8CD4A">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4DEA9742" w14:textId="77777777" w:rsidR="00DD55C8" w:rsidRPr="00A10869" w:rsidRDefault="00DD55C8" w:rsidP="00895ED9">
            <w:pPr>
              <w:rPr>
                <w:rFonts w:ascii="Arial" w:hAnsi="Arial" w:cs="Arial"/>
              </w:rPr>
            </w:pPr>
            <w:r w:rsidRPr="00A10869">
              <w:rPr>
                <w:rFonts w:ascii="Arial" w:hAnsi="Arial" w:cs="Arial"/>
                <w:b/>
                <w:bCs/>
              </w:rPr>
              <w:t>Association of Financial Advisors (AFAS)</w:t>
            </w:r>
            <w:r w:rsidRPr="00A10869">
              <w:rPr>
                <w:rFonts w:ascii="Arial" w:hAnsi="Arial" w:cs="Arial"/>
              </w:rPr>
              <w:t> </w:t>
            </w:r>
          </w:p>
          <w:p w14:paraId="3BB9AD7F" w14:textId="77777777" w:rsidR="00DD55C8" w:rsidRPr="00A10869" w:rsidRDefault="00DD55C8" w:rsidP="00895ED9">
            <w:pPr>
              <w:spacing w:line="278" w:lineRule="auto"/>
              <w:rPr>
                <w:rFonts w:ascii="Arial" w:hAnsi="Arial" w:cs="Arial"/>
              </w:rPr>
            </w:pPr>
            <w:r w:rsidRPr="00A10869">
              <w:rPr>
                <w:rFonts w:ascii="Arial" w:hAnsi="Arial" w:cs="Arial"/>
              </w:rPr>
              <w:t> </w:t>
            </w:r>
          </w:p>
          <w:p w14:paraId="5D41B7E7" w14:textId="77777777" w:rsidR="00DD55C8" w:rsidRPr="00A10869" w:rsidRDefault="00DD55C8" w:rsidP="00895ED9">
            <w:pPr>
              <w:spacing w:line="278" w:lineRule="auto"/>
              <w:rPr>
                <w:rFonts w:ascii="Arial" w:hAnsi="Arial" w:cs="Arial"/>
              </w:rPr>
            </w:pPr>
            <w:r w:rsidRPr="00A10869">
              <w:rPr>
                <w:rFonts w:ascii="Arial" w:hAnsi="Arial" w:cs="Arial"/>
              </w:rPr>
              <w:lastRenderedPageBreak/>
              <w:t> </w:t>
            </w:r>
          </w:p>
          <w:p w14:paraId="3D38FFCC" w14:textId="77777777" w:rsidR="00DD55C8" w:rsidRPr="00A10869" w:rsidRDefault="00DD55C8" w:rsidP="00895ED9">
            <w:pPr>
              <w:spacing w:line="278" w:lineRule="auto"/>
              <w:rPr>
                <w:rFonts w:ascii="Arial" w:hAnsi="Arial" w:cs="Arial"/>
              </w:rPr>
            </w:pPr>
            <w:r w:rsidRPr="00A10869">
              <w:rPr>
                <w:rFonts w:ascii="Arial" w:hAnsi="Arial" w:cs="Arial"/>
              </w:rPr>
              <w:t> </w:t>
            </w:r>
          </w:p>
        </w:tc>
        <w:tc>
          <w:tcPr>
            <w:tcW w:w="7665" w:type="dxa"/>
            <w:tcBorders>
              <w:top w:val="single" w:sz="6" w:space="0" w:color="auto"/>
              <w:left w:val="single" w:sz="6" w:space="0" w:color="auto"/>
              <w:bottom w:val="single" w:sz="6" w:space="0" w:color="auto"/>
              <w:right w:val="single" w:sz="6" w:space="0" w:color="auto"/>
            </w:tcBorders>
            <w:shd w:val="clear" w:color="auto" w:fill="auto"/>
            <w:hideMark/>
          </w:tcPr>
          <w:p w14:paraId="4F5E5A2B" w14:textId="408BBAD8" w:rsidR="00DD55C8" w:rsidRPr="00A10869" w:rsidRDefault="00DD55C8" w:rsidP="00DD55C8">
            <w:pPr>
              <w:spacing w:line="278" w:lineRule="auto"/>
              <w:jc w:val="both"/>
              <w:rPr>
                <w:rFonts w:ascii="Arial" w:hAnsi="Arial" w:cs="Arial"/>
              </w:rPr>
            </w:pPr>
            <w:r w:rsidRPr="00A10869">
              <w:rPr>
                <w:rFonts w:ascii="Arial" w:hAnsi="Arial" w:cs="Arial"/>
              </w:rPr>
              <w:lastRenderedPageBreak/>
              <w:t xml:space="preserve">The Association of Financial Advisers, or AFA(S), is the leading representative body recognised by the Monetary Authority of Singapore for the financial advisory profession in Singapore. As a collective voice for regulatory and policy-related matters, we are committed to serving the best interests of our members and to nurturing a culture of high </w:t>
            </w:r>
            <w:r w:rsidRPr="00A10869">
              <w:rPr>
                <w:rFonts w:ascii="Arial" w:hAnsi="Arial" w:cs="Arial"/>
              </w:rPr>
              <w:lastRenderedPageBreak/>
              <w:t>professional and ethical standards. Our members include licensed firms that provide financial advice to families and individuals to help them achieve their long-term financial goals. </w:t>
            </w:r>
          </w:p>
        </w:tc>
      </w:tr>
      <w:tr w:rsidR="00DD55C8" w:rsidRPr="00A10869" w14:paraId="7E382FB1" w14:textId="77777777" w:rsidTr="1BE8CD4A">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7010EF49" w14:textId="77777777" w:rsidR="00DD55C8" w:rsidRPr="00A10869" w:rsidRDefault="00DD55C8" w:rsidP="00895ED9">
            <w:pPr>
              <w:rPr>
                <w:rFonts w:ascii="Arial" w:hAnsi="Arial" w:cs="Arial"/>
              </w:rPr>
            </w:pPr>
            <w:r w:rsidRPr="00A10869">
              <w:rPr>
                <w:rFonts w:ascii="Arial" w:hAnsi="Arial" w:cs="Arial"/>
                <w:b/>
                <w:bCs/>
              </w:rPr>
              <w:lastRenderedPageBreak/>
              <w:t>General Insurance Association (GIA)</w:t>
            </w:r>
            <w:r w:rsidRPr="00A10869">
              <w:rPr>
                <w:rFonts w:ascii="Arial" w:hAnsi="Arial" w:cs="Arial"/>
              </w:rPr>
              <w:t>  </w:t>
            </w:r>
          </w:p>
        </w:tc>
        <w:tc>
          <w:tcPr>
            <w:tcW w:w="7665" w:type="dxa"/>
            <w:tcBorders>
              <w:top w:val="single" w:sz="6" w:space="0" w:color="auto"/>
              <w:left w:val="single" w:sz="6" w:space="0" w:color="auto"/>
              <w:bottom w:val="single" w:sz="6" w:space="0" w:color="auto"/>
              <w:right w:val="single" w:sz="6" w:space="0" w:color="auto"/>
            </w:tcBorders>
            <w:shd w:val="clear" w:color="auto" w:fill="auto"/>
            <w:hideMark/>
          </w:tcPr>
          <w:p w14:paraId="4A87D803" w14:textId="43D7D0F1" w:rsidR="00DD55C8" w:rsidRPr="00A10869" w:rsidRDefault="00DD55C8" w:rsidP="00DD55C8">
            <w:pPr>
              <w:spacing w:line="278" w:lineRule="auto"/>
              <w:jc w:val="both"/>
              <w:rPr>
                <w:rFonts w:ascii="Arial" w:hAnsi="Arial" w:cs="Arial"/>
              </w:rPr>
            </w:pPr>
            <w:r w:rsidRPr="00A10869">
              <w:rPr>
                <w:rFonts w:ascii="Arial" w:hAnsi="Arial" w:cs="Arial"/>
              </w:rPr>
              <w:t>Established in 1966, the General Insurance Association of Singapore (GIA) constantly works to make all aspects of general insurance easier and more effective for consumers, agents and insurers based in Singapore. </w:t>
            </w:r>
          </w:p>
          <w:p w14:paraId="5FD80B59" w14:textId="0B9741BA" w:rsidR="00DD55C8" w:rsidRPr="00A10869" w:rsidRDefault="00DD55C8" w:rsidP="00DD55C8">
            <w:pPr>
              <w:spacing w:line="278" w:lineRule="auto"/>
              <w:jc w:val="both"/>
              <w:rPr>
                <w:rFonts w:ascii="Arial" w:hAnsi="Arial" w:cs="Arial"/>
              </w:rPr>
            </w:pPr>
            <w:r w:rsidRPr="00A10869">
              <w:rPr>
                <w:rFonts w:ascii="Arial" w:hAnsi="Arial" w:cs="Arial"/>
              </w:rPr>
              <w:t>As a Trade Association, we are actively involved in the business community representing the interests of our member companies. We assist in identifying emerging trends and responds to issues affecting the General Insurance industry. We seek to promote the overall growth and development of the Singapore General Insurance sector. </w:t>
            </w:r>
          </w:p>
        </w:tc>
      </w:tr>
      <w:tr w:rsidR="00DD55C8" w:rsidRPr="00A10869" w14:paraId="73A56B9D" w14:textId="77777777" w:rsidTr="1BE8CD4A">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4C8A9BC0" w14:textId="77777777" w:rsidR="00DD55C8" w:rsidRPr="00A10869" w:rsidRDefault="00DD55C8" w:rsidP="00895ED9">
            <w:pPr>
              <w:rPr>
                <w:rFonts w:ascii="Arial" w:hAnsi="Arial" w:cs="Arial"/>
              </w:rPr>
            </w:pPr>
            <w:r w:rsidRPr="00A10869">
              <w:rPr>
                <w:rFonts w:ascii="Arial" w:hAnsi="Arial" w:cs="Arial"/>
                <w:b/>
                <w:bCs/>
              </w:rPr>
              <w:t>Investment Management Association of Singapore (IMAS)</w:t>
            </w:r>
            <w:r w:rsidRPr="00A10869">
              <w:rPr>
                <w:rFonts w:ascii="Arial" w:hAnsi="Arial" w:cs="Arial"/>
              </w:rPr>
              <w:t> </w:t>
            </w:r>
          </w:p>
        </w:tc>
        <w:tc>
          <w:tcPr>
            <w:tcW w:w="7665" w:type="dxa"/>
            <w:tcBorders>
              <w:top w:val="single" w:sz="6" w:space="0" w:color="auto"/>
              <w:left w:val="single" w:sz="6" w:space="0" w:color="auto"/>
              <w:bottom w:val="single" w:sz="6" w:space="0" w:color="auto"/>
              <w:right w:val="single" w:sz="6" w:space="0" w:color="auto"/>
            </w:tcBorders>
            <w:shd w:val="clear" w:color="auto" w:fill="auto"/>
            <w:hideMark/>
          </w:tcPr>
          <w:p w14:paraId="3A7D98C0" w14:textId="2156781F" w:rsidR="00DD55C8" w:rsidRPr="00A10869" w:rsidRDefault="00DD55C8" w:rsidP="00DD55C8">
            <w:pPr>
              <w:spacing w:line="278" w:lineRule="auto"/>
              <w:jc w:val="both"/>
              <w:rPr>
                <w:rFonts w:ascii="Arial" w:hAnsi="Arial" w:cs="Arial"/>
              </w:rPr>
            </w:pPr>
            <w:r w:rsidRPr="00A10869">
              <w:rPr>
                <w:rFonts w:ascii="Arial" w:hAnsi="Arial" w:cs="Arial"/>
              </w:rPr>
              <w:t>Since its inception in 1997 amidst the Asian Financial Crisis, IMAS has played a pivotal role in shaping Singapore’s asset management industry. </w:t>
            </w:r>
          </w:p>
          <w:p w14:paraId="3404154A" w14:textId="6B9222F8" w:rsidR="00DD55C8" w:rsidRPr="00A10869" w:rsidRDefault="00DD55C8" w:rsidP="00DD55C8">
            <w:pPr>
              <w:spacing w:line="278" w:lineRule="auto"/>
              <w:jc w:val="both"/>
              <w:rPr>
                <w:rFonts w:ascii="Arial" w:hAnsi="Arial" w:cs="Arial"/>
              </w:rPr>
            </w:pPr>
            <w:r w:rsidRPr="00A10869">
              <w:rPr>
                <w:rFonts w:ascii="Arial" w:hAnsi="Arial" w:cs="Arial"/>
              </w:rPr>
              <w:t>IMAS has been active in enhancing the standards of professionalism amongst practitioners, advocating industry concerns, working closely with government agencies and regulators to formulate policies and strategies to grow and strengthen the asset management industry in Singapore. </w:t>
            </w:r>
          </w:p>
          <w:p w14:paraId="02F45D21" w14:textId="1A6928AD" w:rsidR="00DD55C8" w:rsidRPr="00A10869" w:rsidRDefault="00DD55C8" w:rsidP="00DD55C8">
            <w:pPr>
              <w:spacing w:line="278" w:lineRule="auto"/>
              <w:jc w:val="both"/>
              <w:rPr>
                <w:rFonts w:ascii="Arial" w:hAnsi="Arial" w:cs="Arial"/>
              </w:rPr>
            </w:pPr>
            <w:r w:rsidRPr="00A10869">
              <w:rPr>
                <w:rFonts w:ascii="Arial" w:hAnsi="Arial" w:cs="Arial"/>
              </w:rPr>
              <w:t xml:space="preserve">IMAS plays a central role in the investment ecosystem, as the platform that brings together investors, fund managers, regulators, government agencies and service </w:t>
            </w:r>
            <w:proofErr w:type="gramStart"/>
            <w:r w:rsidRPr="00A10869">
              <w:rPr>
                <w:rFonts w:ascii="Arial" w:hAnsi="Arial" w:cs="Arial"/>
              </w:rPr>
              <w:t>providers;</w:t>
            </w:r>
            <w:proofErr w:type="gramEnd"/>
            <w:r w:rsidRPr="00A10869">
              <w:rPr>
                <w:rFonts w:ascii="Arial" w:hAnsi="Arial" w:cs="Arial"/>
              </w:rPr>
              <w:t xml:space="preserve"> facilitating international connectivity and playing a leading role among our network of investment associations globally. </w:t>
            </w:r>
          </w:p>
        </w:tc>
      </w:tr>
      <w:tr w:rsidR="00DD55C8" w:rsidRPr="00A10869" w14:paraId="7CEBCC62" w14:textId="77777777" w:rsidTr="1BE8CD4A">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2C1E61D2" w14:textId="77777777" w:rsidR="00DD55C8" w:rsidRPr="00A10869" w:rsidRDefault="00DD55C8" w:rsidP="00895ED9">
            <w:pPr>
              <w:rPr>
                <w:rFonts w:ascii="Arial" w:hAnsi="Arial" w:cs="Arial"/>
              </w:rPr>
            </w:pPr>
            <w:r w:rsidRPr="00A10869">
              <w:rPr>
                <w:rFonts w:ascii="Arial" w:hAnsi="Arial" w:cs="Arial"/>
                <w:b/>
                <w:bCs/>
              </w:rPr>
              <w:t>Life Insurance Association (LIA)</w:t>
            </w:r>
            <w:r w:rsidRPr="00A10869">
              <w:rPr>
                <w:rFonts w:ascii="Arial" w:hAnsi="Arial" w:cs="Arial"/>
              </w:rPr>
              <w:t> </w:t>
            </w:r>
          </w:p>
        </w:tc>
        <w:tc>
          <w:tcPr>
            <w:tcW w:w="7665" w:type="dxa"/>
            <w:tcBorders>
              <w:top w:val="single" w:sz="6" w:space="0" w:color="auto"/>
              <w:left w:val="single" w:sz="6" w:space="0" w:color="auto"/>
              <w:bottom w:val="single" w:sz="6" w:space="0" w:color="auto"/>
              <w:right w:val="single" w:sz="6" w:space="0" w:color="auto"/>
            </w:tcBorders>
            <w:shd w:val="clear" w:color="auto" w:fill="auto"/>
            <w:hideMark/>
          </w:tcPr>
          <w:p w14:paraId="249B828B" w14:textId="77777777" w:rsidR="00DD55C8" w:rsidRPr="00A10869" w:rsidRDefault="00DD55C8" w:rsidP="00DD55C8">
            <w:pPr>
              <w:spacing w:line="278" w:lineRule="auto"/>
              <w:jc w:val="both"/>
              <w:rPr>
                <w:rFonts w:ascii="Arial" w:hAnsi="Arial" w:cs="Arial"/>
              </w:rPr>
            </w:pPr>
            <w:r w:rsidRPr="00A10869">
              <w:rPr>
                <w:rFonts w:ascii="Arial" w:hAnsi="Arial" w:cs="Arial"/>
              </w:rPr>
              <w:t>The Life Insurance Association Singapore (LIA) is the not-for-profit trade association of life insurance product providers and life reinsurance providers based in Singapore and is registered with the Registry of Societies. </w:t>
            </w:r>
            <w:r w:rsidRPr="00A10869">
              <w:rPr>
                <w:rFonts w:ascii="Arial" w:hAnsi="Arial" w:cs="Arial"/>
              </w:rPr>
              <w:br/>
              <w:t> </w:t>
            </w:r>
            <w:r w:rsidRPr="00A10869">
              <w:rPr>
                <w:rFonts w:ascii="Arial" w:hAnsi="Arial" w:cs="Arial"/>
              </w:rPr>
              <w:br/>
              <w:t xml:space="preserve">Total membership of 33 comprises 25 direct life insurers and 8 life reinsurers. Roles </w:t>
            </w:r>
            <w:proofErr w:type="gramStart"/>
            <w:r w:rsidRPr="00A10869">
              <w:rPr>
                <w:rFonts w:ascii="Arial" w:hAnsi="Arial" w:cs="Arial"/>
              </w:rPr>
              <w:t>include:</w:t>
            </w:r>
            <w:proofErr w:type="gramEnd"/>
            <w:r w:rsidRPr="00A10869">
              <w:rPr>
                <w:rFonts w:ascii="Arial" w:hAnsi="Arial" w:cs="Arial"/>
              </w:rPr>
              <w:t xml:space="preserve"> Representing the life insurance industry, Upholding the professionalism and integrity of members, Promoting collaboration and consumer literacy </w:t>
            </w:r>
          </w:p>
        </w:tc>
      </w:tr>
      <w:tr w:rsidR="00DD55C8" w:rsidRPr="00A10869" w14:paraId="6B48307E" w14:textId="77777777" w:rsidTr="1BE8CD4A">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7D0CCD26" w14:textId="14F7E487" w:rsidR="00DD55C8" w:rsidRPr="00A10869" w:rsidRDefault="00DD55C8" w:rsidP="00895ED9">
            <w:pPr>
              <w:rPr>
                <w:rFonts w:ascii="Arial" w:hAnsi="Arial" w:cs="Arial"/>
              </w:rPr>
            </w:pPr>
            <w:r w:rsidRPr="1BE8CD4A">
              <w:rPr>
                <w:rFonts w:ascii="Arial" w:hAnsi="Arial" w:cs="Arial"/>
                <w:b/>
                <w:bCs/>
              </w:rPr>
              <w:lastRenderedPageBreak/>
              <w:t>Securities</w:t>
            </w:r>
            <w:r w:rsidR="747B3445" w:rsidRPr="1BE8CD4A">
              <w:rPr>
                <w:rFonts w:ascii="Arial" w:hAnsi="Arial" w:cs="Arial"/>
                <w:b/>
                <w:bCs/>
              </w:rPr>
              <w:t xml:space="preserve"> Association</w:t>
            </w:r>
            <w:r w:rsidRPr="1BE8CD4A">
              <w:rPr>
                <w:rFonts w:ascii="Arial" w:hAnsi="Arial" w:cs="Arial"/>
                <w:b/>
                <w:bCs/>
              </w:rPr>
              <w:t xml:space="preserve"> of Singapore (SAS)</w:t>
            </w:r>
            <w:r w:rsidRPr="1BE8CD4A">
              <w:rPr>
                <w:rFonts w:ascii="Arial" w:hAnsi="Arial" w:cs="Arial"/>
              </w:rPr>
              <w:t> </w:t>
            </w:r>
          </w:p>
        </w:tc>
        <w:tc>
          <w:tcPr>
            <w:tcW w:w="7665" w:type="dxa"/>
            <w:tcBorders>
              <w:top w:val="single" w:sz="6" w:space="0" w:color="auto"/>
              <w:left w:val="single" w:sz="6" w:space="0" w:color="auto"/>
              <w:bottom w:val="single" w:sz="6" w:space="0" w:color="auto"/>
              <w:right w:val="single" w:sz="6" w:space="0" w:color="auto"/>
            </w:tcBorders>
            <w:shd w:val="clear" w:color="auto" w:fill="auto"/>
            <w:hideMark/>
          </w:tcPr>
          <w:p w14:paraId="4CFFF998" w14:textId="40590533" w:rsidR="00DD55C8" w:rsidRPr="00A10869" w:rsidRDefault="00DD55C8" w:rsidP="00DD55C8">
            <w:pPr>
              <w:spacing w:line="278" w:lineRule="auto"/>
              <w:jc w:val="both"/>
              <w:rPr>
                <w:rFonts w:ascii="Arial" w:hAnsi="Arial" w:cs="Arial"/>
              </w:rPr>
            </w:pPr>
            <w:r w:rsidRPr="00A10869">
              <w:rPr>
                <w:rFonts w:ascii="Arial" w:hAnsi="Arial" w:cs="Arial"/>
              </w:rPr>
              <w:t>The Securities Association of Singapore was registered and formed on 11 December 2001 which opens an exciting chapter for the stockbroking industry for companies from the securities and investment industry. The SAS actively engages regulators and policymakers and other players in the securities industry, on strategic, regulatory, technology and operational issues and systems affecting the industry. </w:t>
            </w:r>
          </w:p>
          <w:p w14:paraId="776B527B" w14:textId="2178A37E" w:rsidR="00DD55C8" w:rsidRPr="00A10869" w:rsidRDefault="00DD55C8" w:rsidP="00DD55C8">
            <w:pPr>
              <w:spacing w:line="278" w:lineRule="auto"/>
              <w:jc w:val="both"/>
              <w:rPr>
                <w:rFonts w:ascii="Arial" w:hAnsi="Arial" w:cs="Arial"/>
              </w:rPr>
            </w:pPr>
            <w:r w:rsidRPr="00A10869">
              <w:rPr>
                <w:rFonts w:ascii="Arial" w:hAnsi="Arial" w:cs="Arial"/>
              </w:rPr>
              <w:t>It provides a common platform for corporate members to meet and discuss key issues concerning the industry and present collective views and proposals to regulators and authorities. Members include retail broking houses and foreign/institutional stockbrokers.  </w:t>
            </w:r>
          </w:p>
        </w:tc>
      </w:tr>
      <w:tr w:rsidR="00DD55C8" w:rsidRPr="00A10869" w14:paraId="63793535" w14:textId="77777777" w:rsidTr="1BE8CD4A">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4B793CB2" w14:textId="77777777" w:rsidR="00DD55C8" w:rsidRPr="00A10869" w:rsidRDefault="00DD55C8" w:rsidP="00895ED9">
            <w:pPr>
              <w:rPr>
                <w:rFonts w:ascii="Arial" w:hAnsi="Arial" w:cs="Arial"/>
              </w:rPr>
            </w:pPr>
            <w:r w:rsidRPr="00A10869">
              <w:rPr>
                <w:rFonts w:ascii="Arial" w:hAnsi="Arial" w:cs="Arial"/>
                <w:b/>
                <w:bCs/>
              </w:rPr>
              <w:t>Singapore FinTech Association (SFA)</w:t>
            </w:r>
            <w:r w:rsidRPr="00A10869">
              <w:rPr>
                <w:rFonts w:ascii="Arial" w:hAnsi="Arial" w:cs="Arial"/>
              </w:rPr>
              <w:t>  </w:t>
            </w:r>
          </w:p>
        </w:tc>
        <w:tc>
          <w:tcPr>
            <w:tcW w:w="7665" w:type="dxa"/>
            <w:tcBorders>
              <w:top w:val="single" w:sz="6" w:space="0" w:color="auto"/>
              <w:left w:val="single" w:sz="6" w:space="0" w:color="auto"/>
              <w:bottom w:val="single" w:sz="6" w:space="0" w:color="auto"/>
              <w:right w:val="single" w:sz="6" w:space="0" w:color="auto"/>
            </w:tcBorders>
            <w:shd w:val="clear" w:color="auto" w:fill="auto"/>
            <w:hideMark/>
          </w:tcPr>
          <w:p w14:paraId="051A5A4D" w14:textId="77777777" w:rsidR="00DD55C8" w:rsidRPr="00A10869" w:rsidRDefault="00DD55C8" w:rsidP="00DD55C8">
            <w:pPr>
              <w:spacing w:line="278" w:lineRule="auto"/>
              <w:jc w:val="both"/>
              <w:rPr>
                <w:rFonts w:ascii="Arial" w:hAnsi="Arial" w:cs="Arial"/>
              </w:rPr>
            </w:pPr>
            <w:r w:rsidRPr="00A10869">
              <w:rPr>
                <w:rFonts w:ascii="Arial" w:hAnsi="Arial" w:cs="Arial"/>
              </w:rPr>
              <w:t>Singapore FinTech Association is a cross-industry, non-profit initiative intended to be a platform designed to facilitate collaboration between all market participants and stakeholders in the FinTech ecosystem. </w:t>
            </w:r>
          </w:p>
          <w:p w14:paraId="264295CA" w14:textId="5D590C66" w:rsidR="00DD55C8" w:rsidRPr="00A10869" w:rsidRDefault="00DD55C8" w:rsidP="00DD55C8">
            <w:pPr>
              <w:spacing w:line="278" w:lineRule="auto"/>
              <w:jc w:val="both"/>
              <w:rPr>
                <w:rFonts w:ascii="Arial" w:hAnsi="Arial" w:cs="Arial"/>
              </w:rPr>
            </w:pPr>
            <w:r w:rsidRPr="00A10869">
              <w:rPr>
                <w:rFonts w:ascii="Arial" w:hAnsi="Arial" w:cs="Arial"/>
              </w:rPr>
              <w:t>Our goal is to promote engagement in the FinTech ecosystem through events, membership programs, and knowledge sharing. </w:t>
            </w:r>
          </w:p>
        </w:tc>
      </w:tr>
    </w:tbl>
    <w:p w14:paraId="604A0597" w14:textId="5A9B69AC" w:rsidR="008E0C71" w:rsidRPr="00DD55C8" w:rsidRDefault="008E0C71" w:rsidP="00DD55C8">
      <w:pPr>
        <w:jc w:val="both"/>
        <w:rPr>
          <w:rFonts w:ascii="Arial" w:hAnsi="Arial" w:cs="Arial"/>
          <w:sz w:val="24"/>
          <w:szCs w:val="24"/>
          <w:u w:val="single"/>
        </w:rPr>
      </w:pPr>
    </w:p>
    <w:sectPr w:rsidR="008E0C71" w:rsidRPr="00DD55C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AF0F4" w14:textId="77777777" w:rsidR="007550E9" w:rsidRPr="00DD55C8" w:rsidRDefault="007550E9">
      <w:pPr>
        <w:spacing w:after="0" w:line="240" w:lineRule="auto"/>
      </w:pPr>
      <w:r w:rsidRPr="00DD55C8">
        <w:separator/>
      </w:r>
    </w:p>
  </w:endnote>
  <w:endnote w:type="continuationSeparator" w:id="0">
    <w:p w14:paraId="123CBC5B" w14:textId="77777777" w:rsidR="007550E9" w:rsidRPr="00DD55C8" w:rsidRDefault="007550E9">
      <w:pPr>
        <w:spacing w:after="0" w:line="240" w:lineRule="auto"/>
      </w:pPr>
      <w:r w:rsidRPr="00DD55C8">
        <w:continuationSeparator/>
      </w:r>
    </w:p>
  </w:endnote>
  <w:endnote w:type="continuationNotice" w:id="1">
    <w:p w14:paraId="4C1FAED7" w14:textId="77777777" w:rsidR="007550E9" w:rsidRDefault="00755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FD2689A" w:rsidRPr="00DD55C8" w14:paraId="449E5C05" w14:textId="77777777" w:rsidTr="7FD2689A">
      <w:trPr>
        <w:trHeight w:val="300"/>
      </w:trPr>
      <w:tc>
        <w:tcPr>
          <w:tcW w:w="3120" w:type="dxa"/>
        </w:tcPr>
        <w:p w14:paraId="163F0CE1" w14:textId="61B18B66" w:rsidR="7FD2689A" w:rsidRPr="00DD55C8" w:rsidRDefault="7FD2689A" w:rsidP="7FD2689A">
          <w:pPr>
            <w:pStyle w:val="Header"/>
            <w:ind w:left="-115"/>
          </w:pPr>
        </w:p>
      </w:tc>
      <w:tc>
        <w:tcPr>
          <w:tcW w:w="3120" w:type="dxa"/>
        </w:tcPr>
        <w:p w14:paraId="0EB65B83" w14:textId="00623A42" w:rsidR="7FD2689A" w:rsidRPr="00DD55C8" w:rsidRDefault="7FD2689A" w:rsidP="7FD2689A">
          <w:pPr>
            <w:pStyle w:val="Header"/>
            <w:jc w:val="center"/>
          </w:pPr>
        </w:p>
      </w:tc>
      <w:tc>
        <w:tcPr>
          <w:tcW w:w="3120" w:type="dxa"/>
        </w:tcPr>
        <w:p w14:paraId="6AA186E6" w14:textId="6FEAE055" w:rsidR="7FD2689A" w:rsidRPr="00DD55C8" w:rsidRDefault="7FD2689A" w:rsidP="7FD2689A">
          <w:pPr>
            <w:pStyle w:val="Header"/>
            <w:ind w:right="-115"/>
            <w:jc w:val="right"/>
          </w:pPr>
          <w:r w:rsidRPr="00DD55C8">
            <w:fldChar w:fldCharType="begin"/>
          </w:r>
          <w:r w:rsidRPr="00DD55C8">
            <w:instrText>PAGE</w:instrText>
          </w:r>
          <w:r w:rsidRPr="00DD55C8">
            <w:fldChar w:fldCharType="separate"/>
          </w:r>
          <w:r w:rsidR="00F9793D" w:rsidRPr="00DD55C8">
            <w:t>1</w:t>
          </w:r>
          <w:r w:rsidRPr="00DD55C8">
            <w:fldChar w:fldCharType="end"/>
          </w:r>
        </w:p>
      </w:tc>
    </w:tr>
  </w:tbl>
  <w:p w14:paraId="395BA625" w14:textId="2099C81E" w:rsidR="7FD2689A" w:rsidRPr="00DD55C8" w:rsidRDefault="7FD2689A" w:rsidP="7FD26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BCA78" w14:textId="77777777" w:rsidR="007550E9" w:rsidRPr="00DD55C8" w:rsidRDefault="007550E9">
      <w:pPr>
        <w:spacing w:after="0" w:line="240" w:lineRule="auto"/>
      </w:pPr>
      <w:r w:rsidRPr="00DD55C8">
        <w:separator/>
      </w:r>
    </w:p>
  </w:footnote>
  <w:footnote w:type="continuationSeparator" w:id="0">
    <w:p w14:paraId="626D213B" w14:textId="77777777" w:rsidR="007550E9" w:rsidRPr="00DD55C8" w:rsidRDefault="007550E9">
      <w:pPr>
        <w:spacing w:after="0" w:line="240" w:lineRule="auto"/>
      </w:pPr>
      <w:r w:rsidRPr="00DD55C8">
        <w:continuationSeparator/>
      </w:r>
    </w:p>
  </w:footnote>
  <w:footnote w:type="continuationNotice" w:id="1">
    <w:p w14:paraId="2310DC2E" w14:textId="77777777" w:rsidR="007550E9" w:rsidRDefault="007550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FD2689A" w:rsidRPr="00DD55C8" w14:paraId="321A6786" w14:textId="77777777" w:rsidTr="0E2EA172">
      <w:trPr>
        <w:trHeight w:val="300"/>
      </w:trPr>
      <w:tc>
        <w:tcPr>
          <w:tcW w:w="3120" w:type="dxa"/>
        </w:tcPr>
        <w:p w14:paraId="07E72876" w14:textId="47A907C7" w:rsidR="7FD2689A" w:rsidRPr="00DD55C8" w:rsidRDefault="0E2EA172" w:rsidP="7FD2689A">
          <w:pPr>
            <w:pStyle w:val="Header"/>
            <w:ind w:left="-115"/>
          </w:pPr>
          <w:r w:rsidRPr="00DD55C8">
            <w:rPr>
              <w:noProof/>
            </w:rPr>
            <w:drawing>
              <wp:inline distT="0" distB="0" distL="0" distR="0" wp14:anchorId="457E72D9" wp14:editId="2D3AF988">
                <wp:extent cx="1143000" cy="533400"/>
                <wp:effectExtent l="0" t="0" r="0" b="0"/>
                <wp:docPr id="1835078596" name="Picture 1835078596"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43000" cy="533400"/>
                        </a:xfrm>
                        <a:prstGeom prst="rect">
                          <a:avLst/>
                        </a:prstGeom>
                      </pic:spPr>
                    </pic:pic>
                  </a:graphicData>
                </a:graphic>
              </wp:inline>
            </w:drawing>
          </w:r>
          <w:r w:rsidR="7FD2689A" w:rsidRPr="00DD55C8">
            <w:br/>
          </w:r>
        </w:p>
      </w:tc>
      <w:tc>
        <w:tcPr>
          <w:tcW w:w="3120" w:type="dxa"/>
        </w:tcPr>
        <w:p w14:paraId="615EC464" w14:textId="571CA4BF" w:rsidR="7FD2689A" w:rsidRPr="00DD55C8" w:rsidRDefault="7FD2689A" w:rsidP="7FD2689A">
          <w:pPr>
            <w:pStyle w:val="Header"/>
            <w:jc w:val="center"/>
          </w:pPr>
        </w:p>
      </w:tc>
      <w:tc>
        <w:tcPr>
          <w:tcW w:w="3120" w:type="dxa"/>
        </w:tcPr>
        <w:p w14:paraId="3D7419D7" w14:textId="7E815FC2" w:rsidR="7FD2689A" w:rsidRPr="00DD55C8" w:rsidRDefault="00F9793D" w:rsidP="7FD2689A">
          <w:pPr>
            <w:pStyle w:val="Header"/>
            <w:ind w:right="-115"/>
            <w:jc w:val="right"/>
          </w:pPr>
          <w:r w:rsidRPr="00DD55C8">
            <w:rPr>
              <w:noProof/>
            </w:rPr>
            <w:drawing>
              <wp:inline distT="0" distB="0" distL="0" distR="0" wp14:anchorId="44438558" wp14:editId="6D5F6226">
                <wp:extent cx="1322962" cy="610924"/>
                <wp:effectExtent l="0" t="0" r="0" b="0"/>
                <wp:docPr id="1834937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5614" cy="616767"/>
                        </a:xfrm>
                        <a:prstGeom prst="rect">
                          <a:avLst/>
                        </a:prstGeom>
                        <a:noFill/>
                        <a:ln>
                          <a:noFill/>
                        </a:ln>
                      </pic:spPr>
                    </pic:pic>
                  </a:graphicData>
                </a:graphic>
              </wp:inline>
            </w:drawing>
          </w:r>
        </w:p>
      </w:tc>
    </w:tr>
  </w:tbl>
  <w:p w14:paraId="39C7C026" w14:textId="64ED83AF" w:rsidR="7FD2689A" w:rsidRPr="00DD55C8" w:rsidRDefault="7FD2689A" w:rsidP="7FD26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B7221"/>
    <w:multiLevelType w:val="hybridMultilevel"/>
    <w:tmpl w:val="B51A471A"/>
    <w:lvl w:ilvl="0" w:tplc="2DB85E4A">
      <w:start w:val="2"/>
      <w:numFmt w:val="decimal"/>
      <w:lvlText w:val="%1."/>
      <w:lvlJc w:val="left"/>
      <w:pPr>
        <w:ind w:left="2880" w:hanging="360"/>
      </w:pPr>
      <w:rPr>
        <w:rFonts w:hint="default"/>
        <w:strike w:val="0"/>
      </w:rPr>
    </w:lvl>
    <w:lvl w:ilvl="1" w:tplc="4C7A31DA">
      <w:start w:val="1"/>
      <w:numFmt w:val="lowerLetter"/>
      <w:lvlText w:val="%2."/>
      <w:lvlJc w:val="left"/>
      <w:pPr>
        <w:ind w:left="3600" w:hanging="360"/>
      </w:pPr>
      <w:rPr>
        <w:strike w:val="0"/>
      </w:rPr>
    </w:lvl>
    <w:lvl w:ilvl="2" w:tplc="4809001B">
      <w:start w:val="1"/>
      <w:numFmt w:val="lowerRoman"/>
      <w:lvlText w:val="%3."/>
      <w:lvlJc w:val="right"/>
      <w:pPr>
        <w:ind w:left="4320" w:hanging="180"/>
      </w:pPr>
    </w:lvl>
    <w:lvl w:ilvl="3" w:tplc="4809000F" w:tentative="1">
      <w:start w:val="1"/>
      <w:numFmt w:val="decimal"/>
      <w:lvlText w:val="%4."/>
      <w:lvlJc w:val="left"/>
      <w:pPr>
        <w:ind w:left="5040" w:hanging="360"/>
      </w:pPr>
    </w:lvl>
    <w:lvl w:ilvl="4" w:tplc="48090019" w:tentative="1">
      <w:start w:val="1"/>
      <w:numFmt w:val="lowerLetter"/>
      <w:lvlText w:val="%5."/>
      <w:lvlJc w:val="left"/>
      <w:pPr>
        <w:ind w:left="5760" w:hanging="360"/>
      </w:pPr>
    </w:lvl>
    <w:lvl w:ilvl="5" w:tplc="4809001B" w:tentative="1">
      <w:start w:val="1"/>
      <w:numFmt w:val="lowerRoman"/>
      <w:lvlText w:val="%6."/>
      <w:lvlJc w:val="right"/>
      <w:pPr>
        <w:ind w:left="6480" w:hanging="180"/>
      </w:pPr>
    </w:lvl>
    <w:lvl w:ilvl="6" w:tplc="4809000F" w:tentative="1">
      <w:start w:val="1"/>
      <w:numFmt w:val="decimal"/>
      <w:lvlText w:val="%7."/>
      <w:lvlJc w:val="left"/>
      <w:pPr>
        <w:ind w:left="7200" w:hanging="360"/>
      </w:pPr>
    </w:lvl>
    <w:lvl w:ilvl="7" w:tplc="48090019" w:tentative="1">
      <w:start w:val="1"/>
      <w:numFmt w:val="lowerLetter"/>
      <w:lvlText w:val="%8."/>
      <w:lvlJc w:val="left"/>
      <w:pPr>
        <w:ind w:left="7920" w:hanging="360"/>
      </w:pPr>
    </w:lvl>
    <w:lvl w:ilvl="8" w:tplc="4809001B" w:tentative="1">
      <w:start w:val="1"/>
      <w:numFmt w:val="lowerRoman"/>
      <w:lvlText w:val="%9."/>
      <w:lvlJc w:val="right"/>
      <w:pPr>
        <w:ind w:left="8640" w:hanging="180"/>
      </w:pPr>
    </w:lvl>
  </w:abstractNum>
  <w:abstractNum w:abstractNumId="1" w15:restartNumberingAfterBreak="0">
    <w:nsid w:val="10FD5A46"/>
    <w:multiLevelType w:val="hybridMultilevel"/>
    <w:tmpl w:val="9998FB96"/>
    <w:lvl w:ilvl="0" w:tplc="18FCFA7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5D11F318"/>
    <w:multiLevelType w:val="hybridMultilevel"/>
    <w:tmpl w:val="FFFFFFFF"/>
    <w:lvl w:ilvl="0" w:tplc="CA6633BA">
      <w:start w:val="1"/>
      <w:numFmt w:val="decimal"/>
      <w:lvlText w:val="%1."/>
      <w:lvlJc w:val="left"/>
      <w:pPr>
        <w:ind w:left="720" w:hanging="360"/>
      </w:pPr>
    </w:lvl>
    <w:lvl w:ilvl="1" w:tplc="DCCAD10A">
      <w:start w:val="1"/>
      <w:numFmt w:val="lowerLetter"/>
      <w:lvlText w:val="%2."/>
      <w:lvlJc w:val="left"/>
      <w:pPr>
        <w:ind w:left="1440" w:hanging="360"/>
      </w:pPr>
    </w:lvl>
    <w:lvl w:ilvl="2" w:tplc="E574247E">
      <w:start w:val="1"/>
      <w:numFmt w:val="lowerRoman"/>
      <w:lvlText w:val="%3."/>
      <w:lvlJc w:val="right"/>
      <w:pPr>
        <w:ind w:left="2160" w:hanging="180"/>
      </w:pPr>
    </w:lvl>
    <w:lvl w:ilvl="3" w:tplc="7D327FC0">
      <w:start w:val="1"/>
      <w:numFmt w:val="decimal"/>
      <w:lvlText w:val="%4."/>
      <w:lvlJc w:val="left"/>
      <w:pPr>
        <w:ind w:left="2880" w:hanging="360"/>
      </w:pPr>
    </w:lvl>
    <w:lvl w:ilvl="4" w:tplc="46242C3E">
      <w:start w:val="1"/>
      <w:numFmt w:val="lowerLetter"/>
      <w:lvlText w:val="%5."/>
      <w:lvlJc w:val="left"/>
      <w:pPr>
        <w:ind w:left="3600" w:hanging="360"/>
      </w:pPr>
    </w:lvl>
    <w:lvl w:ilvl="5" w:tplc="A65456AA">
      <w:start w:val="1"/>
      <w:numFmt w:val="lowerRoman"/>
      <w:lvlText w:val="%6."/>
      <w:lvlJc w:val="right"/>
      <w:pPr>
        <w:ind w:left="4320" w:hanging="180"/>
      </w:pPr>
    </w:lvl>
    <w:lvl w:ilvl="6" w:tplc="0C7ADE2E">
      <w:start w:val="1"/>
      <w:numFmt w:val="decimal"/>
      <w:lvlText w:val="%7."/>
      <w:lvlJc w:val="left"/>
      <w:pPr>
        <w:ind w:left="5040" w:hanging="360"/>
      </w:pPr>
    </w:lvl>
    <w:lvl w:ilvl="7" w:tplc="3BC2DF56">
      <w:start w:val="1"/>
      <w:numFmt w:val="lowerLetter"/>
      <w:lvlText w:val="%8."/>
      <w:lvlJc w:val="left"/>
      <w:pPr>
        <w:ind w:left="5760" w:hanging="360"/>
      </w:pPr>
    </w:lvl>
    <w:lvl w:ilvl="8" w:tplc="A11674F8">
      <w:start w:val="1"/>
      <w:numFmt w:val="lowerRoman"/>
      <w:lvlText w:val="%9."/>
      <w:lvlJc w:val="right"/>
      <w:pPr>
        <w:ind w:left="6480" w:hanging="180"/>
      </w:pPr>
    </w:lvl>
  </w:abstractNum>
  <w:abstractNum w:abstractNumId="3" w15:restartNumberingAfterBreak="0">
    <w:nsid w:val="758C431F"/>
    <w:multiLevelType w:val="hybridMultilevel"/>
    <w:tmpl w:val="BBA2D4D2"/>
    <w:lvl w:ilvl="0" w:tplc="1A208A94">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E7469F"/>
    <w:multiLevelType w:val="hybridMultilevel"/>
    <w:tmpl w:val="FD2E78B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7C11C950"/>
    <w:multiLevelType w:val="hybridMultilevel"/>
    <w:tmpl w:val="A9769480"/>
    <w:lvl w:ilvl="0" w:tplc="68003322">
      <w:start w:val="1"/>
      <w:numFmt w:val="decimal"/>
      <w:lvlText w:val="%1."/>
      <w:lvlJc w:val="left"/>
      <w:pPr>
        <w:ind w:left="720" w:hanging="360"/>
      </w:pPr>
      <w:rPr>
        <w:b w:val="0"/>
        <w:bCs w:val="0"/>
        <w:sz w:val="24"/>
        <w:szCs w:val="24"/>
      </w:rPr>
    </w:lvl>
    <w:lvl w:ilvl="1" w:tplc="69BE3456">
      <w:start w:val="1"/>
      <w:numFmt w:val="lowerLetter"/>
      <w:lvlText w:val="%2."/>
      <w:lvlJc w:val="left"/>
      <w:pPr>
        <w:ind w:left="1440" w:hanging="360"/>
      </w:pPr>
    </w:lvl>
    <w:lvl w:ilvl="2" w:tplc="50B49DDE">
      <w:start w:val="1"/>
      <w:numFmt w:val="lowerRoman"/>
      <w:lvlText w:val="%3."/>
      <w:lvlJc w:val="right"/>
      <w:pPr>
        <w:ind w:left="2160" w:hanging="180"/>
      </w:pPr>
    </w:lvl>
    <w:lvl w:ilvl="3" w:tplc="ECD40B8E">
      <w:start w:val="1"/>
      <w:numFmt w:val="decimal"/>
      <w:lvlText w:val="%4."/>
      <w:lvlJc w:val="left"/>
      <w:pPr>
        <w:ind w:left="2880" w:hanging="360"/>
      </w:pPr>
    </w:lvl>
    <w:lvl w:ilvl="4" w:tplc="828C9518">
      <w:start w:val="1"/>
      <w:numFmt w:val="lowerLetter"/>
      <w:lvlText w:val="%5."/>
      <w:lvlJc w:val="left"/>
      <w:pPr>
        <w:ind w:left="3600" w:hanging="360"/>
      </w:pPr>
    </w:lvl>
    <w:lvl w:ilvl="5" w:tplc="231C359E">
      <w:start w:val="1"/>
      <w:numFmt w:val="lowerRoman"/>
      <w:lvlText w:val="%6."/>
      <w:lvlJc w:val="right"/>
      <w:pPr>
        <w:ind w:left="4320" w:hanging="180"/>
      </w:pPr>
    </w:lvl>
    <w:lvl w:ilvl="6" w:tplc="80A00238">
      <w:start w:val="1"/>
      <w:numFmt w:val="decimal"/>
      <w:lvlText w:val="%7."/>
      <w:lvlJc w:val="left"/>
      <w:pPr>
        <w:ind w:left="5040" w:hanging="360"/>
      </w:pPr>
    </w:lvl>
    <w:lvl w:ilvl="7" w:tplc="943C6996">
      <w:start w:val="1"/>
      <w:numFmt w:val="lowerLetter"/>
      <w:lvlText w:val="%8."/>
      <w:lvlJc w:val="left"/>
      <w:pPr>
        <w:ind w:left="5760" w:hanging="360"/>
      </w:pPr>
    </w:lvl>
    <w:lvl w:ilvl="8" w:tplc="266C5C08">
      <w:start w:val="1"/>
      <w:numFmt w:val="lowerRoman"/>
      <w:lvlText w:val="%9."/>
      <w:lvlJc w:val="right"/>
      <w:pPr>
        <w:ind w:left="6480" w:hanging="180"/>
      </w:pPr>
    </w:lvl>
  </w:abstractNum>
  <w:num w:numId="1" w16cid:durableId="958410062">
    <w:abstractNumId w:val="2"/>
  </w:num>
  <w:num w:numId="2" w16cid:durableId="297540396">
    <w:abstractNumId w:val="5"/>
  </w:num>
  <w:num w:numId="3" w16cid:durableId="537398345">
    <w:abstractNumId w:val="1"/>
  </w:num>
  <w:num w:numId="4" w16cid:durableId="1788507584">
    <w:abstractNumId w:val="3"/>
  </w:num>
  <w:num w:numId="5" w16cid:durableId="2091779578">
    <w:abstractNumId w:val="4"/>
  </w:num>
  <w:num w:numId="6" w16cid:durableId="204173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A1"/>
    <w:rsid w:val="000129D6"/>
    <w:rsid w:val="0004586A"/>
    <w:rsid w:val="00045889"/>
    <w:rsid w:val="00055B38"/>
    <w:rsid w:val="0007140D"/>
    <w:rsid w:val="00084C01"/>
    <w:rsid w:val="000B57BC"/>
    <w:rsid w:val="000D1245"/>
    <w:rsid w:val="00102D8A"/>
    <w:rsid w:val="001038CB"/>
    <w:rsid w:val="00104764"/>
    <w:rsid w:val="00126D47"/>
    <w:rsid w:val="0016645E"/>
    <w:rsid w:val="001D3631"/>
    <w:rsid w:val="001F0180"/>
    <w:rsid w:val="001F5F40"/>
    <w:rsid w:val="00202762"/>
    <w:rsid w:val="00205C9E"/>
    <w:rsid w:val="002070F8"/>
    <w:rsid w:val="00230B6E"/>
    <w:rsid w:val="00242C90"/>
    <w:rsid w:val="00297F8C"/>
    <w:rsid w:val="002D63E3"/>
    <w:rsid w:val="002F414C"/>
    <w:rsid w:val="002F73C2"/>
    <w:rsid w:val="003139A1"/>
    <w:rsid w:val="0034018E"/>
    <w:rsid w:val="003B287C"/>
    <w:rsid w:val="004806C2"/>
    <w:rsid w:val="004A4E84"/>
    <w:rsid w:val="004D65D8"/>
    <w:rsid w:val="005102E0"/>
    <w:rsid w:val="005A6AC5"/>
    <w:rsid w:val="005E5B53"/>
    <w:rsid w:val="00607630"/>
    <w:rsid w:val="006560C8"/>
    <w:rsid w:val="00680DAE"/>
    <w:rsid w:val="006D52B2"/>
    <w:rsid w:val="006E628B"/>
    <w:rsid w:val="007043C5"/>
    <w:rsid w:val="007372C6"/>
    <w:rsid w:val="007550E9"/>
    <w:rsid w:val="00763DB0"/>
    <w:rsid w:val="0076551B"/>
    <w:rsid w:val="00811C0B"/>
    <w:rsid w:val="00812C34"/>
    <w:rsid w:val="00824F90"/>
    <w:rsid w:val="00835B79"/>
    <w:rsid w:val="00895ED9"/>
    <w:rsid w:val="008B3D4A"/>
    <w:rsid w:val="008B5F47"/>
    <w:rsid w:val="008D5177"/>
    <w:rsid w:val="008D7F25"/>
    <w:rsid w:val="008E0C71"/>
    <w:rsid w:val="008F4429"/>
    <w:rsid w:val="00914B91"/>
    <w:rsid w:val="00921EA1"/>
    <w:rsid w:val="00943B87"/>
    <w:rsid w:val="0096309E"/>
    <w:rsid w:val="00972829"/>
    <w:rsid w:val="0099580B"/>
    <w:rsid w:val="009D4B64"/>
    <w:rsid w:val="009E76C2"/>
    <w:rsid w:val="00A13D56"/>
    <w:rsid w:val="00A35BD7"/>
    <w:rsid w:val="00A35C99"/>
    <w:rsid w:val="00A503D9"/>
    <w:rsid w:val="00AD7398"/>
    <w:rsid w:val="00B20FA7"/>
    <w:rsid w:val="00B52859"/>
    <w:rsid w:val="00B75110"/>
    <w:rsid w:val="00BB5C18"/>
    <w:rsid w:val="00BC2BEE"/>
    <w:rsid w:val="00BE29BC"/>
    <w:rsid w:val="00BF06A7"/>
    <w:rsid w:val="00BF2588"/>
    <w:rsid w:val="00C26412"/>
    <w:rsid w:val="00C55CBA"/>
    <w:rsid w:val="00C674E5"/>
    <w:rsid w:val="00C730C8"/>
    <w:rsid w:val="00CB3074"/>
    <w:rsid w:val="00CB30C0"/>
    <w:rsid w:val="00CC2E4D"/>
    <w:rsid w:val="00CE095F"/>
    <w:rsid w:val="00D0285F"/>
    <w:rsid w:val="00D778B2"/>
    <w:rsid w:val="00DD55C8"/>
    <w:rsid w:val="00DD5D70"/>
    <w:rsid w:val="00DF294E"/>
    <w:rsid w:val="00E07AFB"/>
    <w:rsid w:val="00E4294C"/>
    <w:rsid w:val="00E97C28"/>
    <w:rsid w:val="00EF0888"/>
    <w:rsid w:val="00EF6E86"/>
    <w:rsid w:val="00F169F7"/>
    <w:rsid w:val="00F41A0C"/>
    <w:rsid w:val="00F47691"/>
    <w:rsid w:val="00F85105"/>
    <w:rsid w:val="00F9793D"/>
    <w:rsid w:val="00FA7526"/>
    <w:rsid w:val="00FE7251"/>
    <w:rsid w:val="03643A8F"/>
    <w:rsid w:val="04861710"/>
    <w:rsid w:val="04A22D4C"/>
    <w:rsid w:val="0522700C"/>
    <w:rsid w:val="05BBC82C"/>
    <w:rsid w:val="05D51D61"/>
    <w:rsid w:val="060496B5"/>
    <w:rsid w:val="06128DAD"/>
    <w:rsid w:val="07165008"/>
    <w:rsid w:val="07DBCB68"/>
    <w:rsid w:val="0840450F"/>
    <w:rsid w:val="087577D2"/>
    <w:rsid w:val="0D89591B"/>
    <w:rsid w:val="0DD90319"/>
    <w:rsid w:val="0E1C41FC"/>
    <w:rsid w:val="0E2EA172"/>
    <w:rsid w:val="11031EC1"/>
    <w:rsid w:val="112BB2B6"/>
    <w:rsid w:val="1184A128"/>
    <w:rsid w:val="11BC77CD"/>
    <w:rsid w:val="1279A3D6"/>
    <w:rsid w:val="12979A1E"/>
    <w:rsid w:val="12C658F7"/>
    <w:rsid w:val="1480F872"/>
    <w:rsid w:val="14A3DD1E"/>
    <w:rsid w:val="1545329B"/>
    <w:rsid w:val="15BD2D59"/>
    <w:rsid w:val="1632C68A"/>
    <w:rsid w:val="16A5A49B"/>
    <w:rsid w:val="16BDC803"/>
    <w:rsid w:val="16E6C6D7"/>
    <w:rsid w:val="173657A1"/>
    <w:rsid w:val="1738CDD6"/>
    <w:rsid w:val="17ECA520"/>
    <w:rsid w:val="18564E87"/>
    <w:rsid w:val="19CA5AB2"/>
    <w:rsid w:val="19E9AA05"/>
    <w:rsid w:val="1B589AE9"/>
    <w:rsid w:val="1BAE571B"/>
    <w:rsid w:val="1BE8CD4A"/>
    <w:rsid w:val="1CF4DC29"/>
    <w:rsid w:val="1D1E174F"/>
    <w:rsid w:val="1D373E93"/>
    <w:rsid w:val="1D58140C"/>
    <w:rsid w:val="1F9D623E"/>
    <w:rsid w:val="203E886A"/>
    <w:rsid w:val="212CBEA0"/>
    <w:rsid w:val="21BE7093"/>
    <w:rsid w:val="22562884"/>
    <w:rsid w:val="2261FE4C"/>
    <w:rsid w:val="23E3381B"/>
    <w:rsid w:val="249AD7C5"/>
    <w:rsid w:val="25167DF8"/>
    <w:rsid w:val="251BA627"/>
    <w:rsid w:val="254520C8"/>
    <w:rsid w:val="25732BC8"/>
    <w:rsid w:val="264DC126"/>
    <w:rsid w:val="293BE661"/>
    <w:rsid w:val="2982BB90"/>
    <w:rsid w:val="2B48E89A"/>
    <w:rsid w:val="2B6E8A3E"/>
    <w:rsid w:val="2BBFBBD7"/>
    <w:rsid w:val="2D0E445D"/>
    <w:rsid w:val="2D585339"/>
    <w:rsid w:val="2E2E740B"/>
    <w:rsid w:val="2E4DABAF"/>
    <w:rsid w:val="2E72FD83"/>
    <w:rsid w:val="2EAA13C6"/>
    <w:rsid w:val="2FBC3B58"/>
    <w:rsid w:val="31C1D252"/>
    <w:rsid w:val="31D434F2"/>
    <w:rsid w:val="32C80275"/>
    <w:rsid w:val="333129AC"/>
    <w:rsid w:val="33817454"/>
    <w:rsid w:val="345D03B4"/>
    <w:rsid w:val="346ED581"/>
    <w:rsid w:val="3470E52D"/>
    <w:rsid w:val="34D28A45"/>
    <w:rsid w:val="35311EE9"/>
    <w:rsid w:val="35370206"/>
    <w:rsid w:val="35A44257"/>
    <w:rsid w:val="35A53E0C"/>
    <w:rsid w:val="3605E0F6"/>
    <w:rsid w:val="363FA002"/>
    <w:rsid w:val="36C8DD9C"/>
    <w:rsid w:val="371F05F1"/>
    <w:rsid w:val="3A8F3887"/>
    <w:rsid w:val="3AA23172"/>
    <w:rsid w:val="3C9F6954"/>
    <w:rsid w:val="3D08EE06"/>
    <w:rsid w:val="3E6B10BB"/>
    <w:rsid w:val="3EC9E5B3"/>
    <w:rsid w:val="3FB5ED12"/>
    <w:rsid w:val="4099B3D9"/>
    <w:rsid w:val="412F42DA"/>
    <w:rsid w:val="4154965B"/>
    <w:rsid w:val="42777D35"/>
    <w:rsid w:val="42C25790"/>
    <w:rsid w:val="434ABBC3"/>
    <w:rsid w:val="449504E6"/>
    <w:rsid w:val="453B93BD"/>
    <w:rsid w:val="45A65AEC"/>
    <w:rsid w:val="46093630"/>
    <w:rsid w:val="4685144B"/>
    <w:rsid w:val="472FF1EC"/>
    <w:rsid w:val="48E09DAD"/>
    <w:rsid w:val="48EBDF5B"/>
    <w:rsid w:val="49A34602"/>
    <w:rsid w:val="4AE1CF51"/>
    <w:rsid w:val="4B0A8BC7"/>
    <w:rsid w:val="4C11927E"/>
    <w:rsid w:val="4C4A5BD2"/>
    <w:rsid w:val="4D843A52"/>
    <w:rsid w:val="4E6B593D"/>
    <w:rsid w:val="4E6D5AC4"/>
    <w:rsid w:val="4F8B7E4C"/>
    <w:rsid w:val="500E7C20"/>
    <w:rsid w:val="502D97AF"/>
    <w:rsid w:val="503C54EB"/>
    <w:rsid w:val="506E3524"/>
    <w:rsid w:val="5108C765"/>
    <w:rsid w:val="512C207F"/>
    <w:rsid w:val="512E37CE"/>
    <w:rsid w:val="530B47E0"/>
    <w:rsid w:val="5311758F"/>
    <w:rsid w:val="53DC6238"/>
    <w:rsid w:val="54707635"/>
    <w:rsid w:val="548921A0"/>
    <w:rsid w:val="554FF365"/>
    <w:rsid w:val="5558A08B"/>
    <w:rsid w:val="55CA25EF"/>
    <w:rsid w:val="560EE0CA"/>
    <w:rsid w:val="56B15D45"/>
    <w:rsid w:val="5734A84A"/>
    <w:rsid w:val="576F9DFD"/>
    <w:rsid w:val="577C6EDD"/>
    <w:rsid w:val="577EB107"/>
    <w:rsid w:val="586BFCA0"/>
    <w:rsid w:val="5876634F"/>
    <w:rsid w:val="591C8D80"/>
    <w:rsid w:val="592F5F34"/>
    <w:rsid w:val="5A36C16E"/>
    <w:rsid w:val="5A9CDE0A"/>
    <w:rsid w:val="5B5A8C42"/>
    <w:rsid w:val="5BBC3212"/>
    <w:rsid w:val="5BD3E9E7"/>
    <w:rsid w:val="5D63C69F"/>
    <w:rsid w:val="5DBF013D"/>
    <w:rsid w:val="603834CF"/>
    <w:rsid w:val="60B7BD77"/>
    <w:rsid w:val="61608F9F"/>
    <w:rsid w:val="6257066A"/>
    <w:rsid w:val="631C8458"/>
    <w:rsid w:val="632642A8"/>
    <w:rsid w:val="633E98F0"/>
    <w:rsid w:val="646A5D6C"/>
    <w:rsid w:val="67B165DD"/>
    <w:rsid w:val="69294B78"/>
    <w:rsid w:val="699F5A99"/>
    <w:rsid w:val="69F70593"/>
    <w:rsid w:val="6BEE504E"/>
    <w:rsid w:val="6CDE3C89"/>
    <w:rsid w:val="6DAA1871"/>
    <w:rsid w:val="6DEC1930"/>
    <w:rsid w:val="6E1B0838"/>
    <w:rsid w:val="6F137D0D"/>
    <w:rsid w:val="70F49D48"/>
    <w:rsid w:val="71022CFE"/>
    <w:rsid w:val="711BE053"/>
    <w:rsid w:val="723BBA3B"/>
    <w:rsid w:val="72717D96"/>
    <w:rsid w:val="72AD5443"/>
    <w:rsid w:val="731A5F92"/>
    <w:rsid w:val="73366D21"/>
    <w:rsid w:val="73AFDF55"/>
    <w:rsid w:val="747B3445"/>
    <w:rsid w:val="74B200A0"/>
    <w:rsid w:val="753155C2"/>
    <w:rsid w:val="754353A7"/>
    <w:rsid w:val="75E5E29F"/>
    <w:rsid w:val="766F6C0E"/>
    <w:rsid w:val="77427E9E"/>
    <w:rsid w:val="778BAC92"/>
    <w:rsid w:val="779CFB48"/>
    <w:rsid w:val="7828D073"/>
    <w:rsid w:val="78827E50"/>
    <w:rsid w:val="78BE74CC"/>
    <w:rsid w:val="7927D238"/>
    <w:rsid w:val="79548C22"/>
    <w:rsid w:val="7A870521"/>
    <w:rsid w:val="7AA173A5"/>
    <w:rsid w:val="7B65B558"/>
    <w:rsid w:val="7BC388DD"/>
    <w:rsid w:val="7BC57AC6"/>
    <w:rsid w:val="7CC7F884"/>
    <w:rsid w:val="7CDC8F43"/>
    <w:rsid w:val="7D93BF12"/>
    <w:rsid w:val="7DA953E2"/>
    <w:rsid w:val="7DE348EE"/>
    <w:rsid w:val="7E277E86"/>
    <w:rsid w:val="7E30DEFE"/>
    <w:rsid w:val="7E5F4F43"/>
    <w:rsid w:val="7FD2689A"/>
    <w:rsid w:val="7FF34C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11DB"/>
  <w15:chartTrackingRefBased/>
  <w15:docId w15:val="{64925209-F0A8-43C5-BB78-F2032460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SG"/>
    </w:rPr>
  </w:style>
  <w:style w:type="paragraph" w:styleId="Heading1">
    <w:name w:val="heading 1"/>
    <w:basedOn w:val="Normal"/>
    <w:next w:val="Normal"/>
    <w:link w:val="Heading1Char"/>
    <w:uiPriority w:val="9"/>
    <w:qFormat/>
    <w:rsid w:val="003139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39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39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39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39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3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9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39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39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39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39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3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9A1"/>
    <w:rPr>
      <w:rFonts w:eastAsiaTheme="majorEastAsia" w:cstheme="majorBidi"/>
      <w:color w:val="272727" w:themeColor="text1" w:themeTint="D8"/>
    </w:rPr>
  </w:style>
  <w:style w:type="paragraph" w:styleId="Title">
    <w:name w:val="Title"/>
    <w:basedOn w:val="Normal"/>
    <w:next w:val="Normal"/>
    <w:link w:val="TitleChar"/>
    <w:uiPriority w:val="10"/>
    <w:qFormat/>
    <w:rsid w:val="00313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9A1"/>
    <w:pPr>
      <w:spacing w:before="160"/>
      <w:jc w:val="center"/>
    </w:pPr>
    <w:rPr>
      <w:i/>
      <w:iCs/>
      <w:color w:val="404040" w:themeColor="text1" w:themeTint="BF"/>
    </w:rPr>
  </w:style>
  <w:style w:type="character" w:customStyle="1" w:styleId="QuoteChar">
    <w:name w:val="Quote Char"/>
    <w:basedOn w:val="DefaultParagraphFont"/>
    <w:link w:val="Quote"/>
    <w:uiPriority w:val="29"/>
    <w:rsid w:val="003139A1"/>
    <w:rPr>
      <w:i/>
      <w:iCs/>
      <w:color w:val="404040" w:themeColor="text1" w:themeTint="BF"/>
    </w:rPr>
  </w:style>
  <w:style w:type="paragraph" w:styleId="ListParagraph">
    <w:name w:val="List Paragraph"/>
    <w:aliases w:val="Noise heading,RUS List,Credits,Text,Cell bullets,Rec para,alphabet listing,Number abc,a List Paragraph,List Paragraph1,numbered,Paragraphe de liste1,Bulletr List Paragraph,列出段落,列出段落1,List Paragraph2,List Paragraph21,Párrafo de lista1,L,3"/>
    <w:basedOn w:val="Normal"/>
    <w:link w:val="ListParagraphChar"/>
    <w:uiPriority w:val="99"/>
    <w:qFormat/>
    <w:rsid w:val="003139A1"/>
    <w:pPr>
      <w:ind w:left="720"/>
      <w:contextualSpacing/>
    </w:pPr>
  </w:style>
  <w:style w:type="character" w:styleId="IntenseEmphasis">
    <w:name w:val="Intense Emphasis"/>
    <w:basedOn w:val="DefaultParagraphFont"/>
    <w:uiPriority w:val="21"/>
    <w:qFormat/>
    <w:rsid w:val="003139A1"/>
    <w:rPr>
      <w:i/>
      <w:iCs/>
      <w:color w:val="2F5496" w:themeColor="accent1" w:themeShade="BF"/>
    </w:rPr>
  </w:style>
  <w:style w:type="paragraph" w:styleId="IntenseQuote">
    <w:name w:val="Intense Quote"/>
    <w:basedOn w:val="Normal"/>
    <w:next w:val="Normal"/>
    <w:link w:val="IntenseQuoteChar"/>
    <w:uiPriority w:val="30"/>
    <w:qFormat/>
    <w:rsid w:val="00313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39A1"/>
    <w:rPr>
      <w:i/>
      <w:iCs/>
      <w:color w:val="2F5496" w:themeColor="accent1" w:themeShade="BF"/>
    </w:rPr>
  </w:style>
  <w:style w:type="character" w:styleId="IntenseReference">
    <w:name w:val="Intense Reference"/>
    <w:basedOn w:val="DefaultParagraphFont"/>
    <w:uiPriority w:val="32"/>
    <w:qFormat/>
    <w:rsid w:val="003139A1"/>
    <w:rPr>
      <w:b/>
      <w:bCs/>
      <w:smallCaps/>
      <w:color w:val="2F5496" w:themeColor="accent1" w:themeShade="BF"/>
      <w:spacing w:val="5"/>
    </w:rPr>
  </w:style>
  <w:style w:type="character" w:styleId="CommentReference">
    <w:name w:val="annotation reference"/>
    <w:basedOn w:val="DefaultParagraphFont"/>
    <w:uiPriority w:val="99"/>
    <w:semiHidden/>
    <w:unhideWhenUsed/>
    <w:rsid w:val="00AD7398"/>
    <w:rPr>
      <w:sz w:val="16"/>
      <w:szCs w:val="16"/>
    </w:rPr>
  </w:style>
  <w:style w:type="paragraph" w:styleId="CommentText">
    <w:name w:val="annotation text"/>
    <w:basedOn w:val="Normal"/>
    <w:link w:val="CommentTextChar"/>
    <w:uiPriority w:val="99"/>
    <w:unhideWhenUsed/>
    <w:rsid w:val="00AD7398"/>
    <w:pPr>
      <w:spacing w:line="240" w:lineRule="auto"/>
    </w:pPr>
    <w:rPr>
      <w:sz w:val="20"/>
      <w:szCs w:val="20"/>
    </w:rPr>
  </w:style>
  <w:style w:type="character" w:customStyle="1" w:styleId="CommentTextChar">
    <w:name w:val="Comment Text Char"/>
    <w:basedOn w:val="DefaultParagraphFont"/>
    <w:link w:val="CommentText"/>
    <w:uiPriority w:val="99"/>
    <w:rsid w:val="00AD7398"/>
    <w:rPr>
      <w:sz w:val="20"/>
      <w:szCs w:val="20"/>
      <w:lang w:val="en-SG"/>
    </w:rPr>
  </w:style>
  <w:style w:type="character" w:customStyle="1" w:styleId="ListParagraphChar">
    <w:name w:val="List Paragraph Char"/>
    <w:aliases w:val="Noise heading Char,RUS List Char,Credits Char,Text Char,Cell bullets Char,Rec para Char,alphabet listing Char,Number abc Char,a List Paragraph Char,List Paragraph1 Char,numbered Char,Paragraphe de liste1 Char,列出段落 Char,列出段落1 Char"/>
    <w:basedOn w:val="DefaultParagraphFont"/>
    <w:link w:val="ListParagraph"/>
    <w:uiPriority w:val="99"/>
    <w:qFormat/>
    <w:locked/>
    <w:rsid w:val="00AD7398"/>
  </w:style>
  <w:style w:type="paragraph" w:customStyle="1" w:styleId="Default">
    <w:name w:val="Default"/>
    <w:rsid w:val="000D1245"/>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0D1245"/>
    <w:rPr>
      <w:color w:val="0563C1" w:themeColor="hyperlink"/>
      <w:u w:val="single"/>
    </w:rPr>
  </w:style>
  <w:style w:type="character" w:styleId="UnresolvedMention">
    <w:name w:val="Unresolved Mention"/>
    <w:basedOn w:val="DefaultParagraphFont"/>
    <w:uiPriority w:val="99"/>
    <w:semiHidden/>
    <w:unhideWhenUsed/>
    <w:rsid w:val="000D1245"/>
    <w:rPr>
      <w:color w:val="605E5C"/>
      <w:shd w:val="clear" w:color="auto" w:fill="E1DFDD"/>
    </w:rPr>
  </w:style>
  <w:style w:type="character" w:customStyle="1" w:styleId="eop">
    <w:name w:val="eop"/>
    <w:basedOn w:val="DefaultParagraphFont"/>
    <w:uiPriority w:val="1"/>
    <w:rsid w:val="7FD2689A"/>
    <w:rPr>
      <w:rFonts w:asciiTheme="minorHAnsi" w:eastAsiaTheme="minorEastAsia" w:hAnsiTheme="minorHAnsi" w:cstheme="minorBidi"/>
      <w:sz w:val="22"/>
      <w:szCs w:val="22"/>
    </w:rPr>
  </w:style>
  <w:style w:type="character" w:customStyle="1" w:styleId="normaltextrun">
    <w:name w:val="normaltextrun"/>
    <w:basedOn w:val="DefaultParagraphFont"/>
    <w:uiPriority w:val="1"/>
    <w:rsid w:val="7FD2689A"/>
    <w:rPr>
      <w:rFonts w:asciiTheme="minorHAnsi" w:eastAsiaTheme="minorEastAsia" w:hAnsiTheme="minorHAnsi" w:cstheme="minorBid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F9793D"/>
    <w:pPr>
      <w:spacing w:after="0" w:line="240" w:lineRule="auto"/>
    </w:pPr>
  </w:style>
  <w:style w:type="paragraph" w:styleId="CommentSubject">
    <w:name w:val="annotation subject"/>
    <w:basedOn w:val="CommentText"/>
    <w:next w:val="CommentText"/>
    <w:link w:val="CommentSubjectChar"/>
    <w:uiPriority w:val="99"/>
    <w:semiHidden/>
    <w:unhideWhenUsed/>
    <w:rsid w:val="001F5F40"/>
    <w:rPr>
      <w:b/>
      <w:bCs/>
      <w:lang w:val="en-US"/>
    </w:rPr>
  </w:style>
  <w:style w:type="character" w:customStyle="1" w:styleId="CommentSubjectChar">
    <w:name w:val="Comment Subject Char"/>
    <w:basedOn w:val="CommentTextChar"/>
    <w:link w:val="CommentSubject"/>
    <w:uiPriority w:val="99"/>
    <w:semiHidden/>
    <w:rsid w:val="001F5F40"/>
    <w:rPr>
      <w:b/>
      <w:bCs/>
      <w:sz w:val="20"/>
      <w:szCs w:val="20"/>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19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3F0B732B51A74CAEC093B0DAAB4FD6" ma:contentTypeVersion="26" ma:contentTypeDescription="Create a new document." ma:contentTypeScope="" ma:versionID="b467e6d758d648f8a9ee1573ac06af8b">
  <xsd:schema xmlns:xsd="http://www.w3.org/2001/XMLSchema" xmlns:xs="http://www.w3.org/2001/XMLSchema" xmlns:p="http://schemas.microsoft.com/office/2006/metadata/properties" xmlns:ns2="38b47702-566e-45a8-b047-13c60fbcd16e" xmlns:ns3="21ca6ddb-8753-44da-be75-f7c038dff772" targetNamespace="http://schemas.microsoft.com/office/2006/metadata/properties" ma:root="true" ma:fieldsID="3a19cfa1f4ace00bff6136be007531ba" ns2:_="" ns3:_="">
    <xsd:import namespace="38b47702-566e-45a8-b047-13c60fbcd16e"/>
    <xsd:import namespace="21ca6ddb-8753-44da-be75-f7c038dff772"/>
    <xsd:element name="properties">
      <xsd:complexType>
        <xsd:sequence>
          <xsd:element name="documentManagement">
            <xsd:complexType>
              <xsd:all>
                <xsd:element ref="ns2:Acc_x0020_Mgr"/>
                <xsd:element ref="ns2:Signed_x0020_Off_x0020_By"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ummaryReportLink" minOccurs="0"/>
                <xsd:element ref="ns2:Survey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47702-566e-45a8-b047-13c60fbcd16e" elementFormDefault="qualified">
    <xsd:import namespace="http://schemas.microsoft.com/office/2006/documentManagement/types"/>
    <xsd:import namespace="http://schemas.microsoft.com/office/infopath/2007/PartnerControls"/>
    <xsd:element name="Acc_x0020_Mgr" ma:index="2" ma:displayName="Acc Mgr" ma:list="UserInfo" ma:SharePointGroup="0" ma:internalName="Acc_x0020_Mg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gned_x0020_Off_x0020_By" ma:index="3" nillable="true" ma:displayName="Message By" ma:format="Dropdown" ma:list="UserInfo" ma:SharePointGroup="0" ma:internalName="Signed_x0020_Off_x0020_By"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hidden="true" ma:internalName="MediaServiceAutoTags" ma:readOnly="true">
      <xsd:simpleType>
        <xsd:restriction base="dms:Text"/>
      </xsd:simpleType>
    </xsd:element>
    <xsd:element name="MediaServiceOCR" ma:index="12" nillable="true" ma:displayName="MediaServiceOCR" ma:hidden="true" ma:internalName="MediaServiceOCR"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e17c217-cf96-489c-84d5-16bf13a00212" ma:termSetId="09814cd3-568e-fe90-9814-8d621ff8fb84" ma:anchorId="fba54fb3-c3e1-fe81-a776-ca4b69148c4d" ma:open="true" ma:isKeyword="false">
      <xsd:complexType>
        <xsd:sequence>
          <xsd:element ref="pc:Terms" minOccurs="0" maxOccurs="1"/>
        </xsd:sequence>
      </xsd:complexType>
    </xsd:element>
    <xsd:element name="SummaryReportLink" ma:index="26" nillable="true" ma:displayName="Summary Report Link" ma:format="Hyperlink" ma:internalName="SummaryReportLink">
      <xsd:complexType>
        <xsd:complexContent>
          <xsd:extension base="dms:URL">
            <xsd:sequence>
              <xsd:element name="Url" type="dms:ValidUrl" minOccurs="0" nillable="true"/>
              <xsd:element name="Description" type="xsd:string" nillable="true"/>
            </xsd:sequence>
          </xsd:extension>
        </xsd:complexContent>
      </xsd:complexType>
    </xsd:element>
    <xsd:element name="Surveylink" ma:index="27" nillable="true" ma:displayName="Survey Link" ma:format="Hyperlink" ma:internalName="Survey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a6ddb-8753-44da-be75-f7c038dff772"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6d817ab-601e-4fe9-bb12-2ff771c2bf6e}" ma:internalName="TaxCatchAll" ma:showField="CatchAllData" ma:web="21ca6ddb-8753-44da-be75-f7c038dff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rveylink xmlns="38b47702-566e-45a8-b047-13c60fbcd16e">
      <Url xsi:nil="true"/>
      <Description xsi:nil="true"/>
    </Surveylink>
    <lcf76f155ced4ddcb4097134ff3c332f xmlns="38b47702-566e-45a8-b047-13c60fbcd16e">
      <Terms xmlns="http://schemas.microsoft.com/office/infopath/2007/PartnerControls"/>
    </lcf76f155ced4ddcb4097134ff3c332f>
    <Acc_x0020_Mgr xmlns="38b47702-566e-45a8-b047-13c60fbcd16e">
      <UserInfo>
        <DisplayName/>
        <AccountId/>
        <AccountType/>
      </UserInfo>
    </Acc_x0020_Mgr>
    <TaxCatchAll xmlns="21ca6ddb-8753-44da-be75-f7c038dff772" xsi:nil="true"/>
    <Signed_x0020_Off_x0020_By xmlns="38b47702-566e-45a8-b047-13c60fbcd16e">
      <UserInfo>
        <DisplayName/>
        <AccountId xsi:nil="true"/>
        <AccountType/>
      </UserInfo>
    </Signed_x0020_Off_x0020_By>
    <SummaryReportLink xmlns="38b47702-566e-45a8-b047-13c60fbcd16e">
      <Url xsi:nil="true"/>
      <Description xsi:nil="true"/>
    </SummaryReport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A9912-C056-4D7F-BB3A-FC4BD1545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47702-566e-45a8-b047-13c60fbcd16e"/>
    <ds:schemaRef ds:uri="21ca6ddb-8753-44da-be75-f7c038dff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3118F-12F0-48E7-BF7C-AB28573BB2B8}">
  <ds:schemaRefs>
    <ds:schemaRef ds:uri="http://schemas.microsoft.com/office/2006/metadata/properties"/>
    <ds:schemaRef ds:uri="http://schemas.microsoft.com/office/infopath/2007/PartnerControls"/>
    <ds:schemaRef ds:uri="38b47702-566e-45a8-b047-13c60fbcd16e"/>
    <ds:schemaRef ds:uri="21ca6ddb-8753-44da-be75-f7c038dff772"/>
  </ds:schemaRefs>
</ds:datastoreItem>
</file>

<file path=customXml/itemProps3.xml><?xml version="1.0" encoding="utf-8"?>
<ds:datastoreItem xmlns:ds="http://schemas.openxmlformats.org/officeDocument/2006/customXml" ds:itemID="{90CC4D84-5593-436D-8445-EE27961CB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4629</Characters>
  <Application>Microsoft Office Word</Application>
  <DocSecurity>4</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 Shu Fang - Social Policy / SISEU</dc:creator>
  <cp:keywords/>
  <dc:description/>
  <cp:lastModifiedBy>Jamilah Long - STC</cp:lastModifiedBy>
  <cp:revision>2</cp:revision>
  <dcterms:created xsi:type="dcterms:W3CDTF">2024-08-16T08:33:00Z</dcterms:created>
  <dcterms:modified xsi:type="dcterms:W3CDTF">2024-08-16T08:33:00Z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0x010100F83F0B732B51A74CAEC093B0DAAB4FD6</vt:lpwstr>
  </property>
  <property fmtid="{D5CDD505-2E9C-101B-9397-08002B2CF9AE}" pid="3" name="MediaServiceImageTags">
    <vt:lpwstr/>
  </property>
  <property fmtid="{D5CDD505-2E9C-101B-9397-08002B2CF9AE}" pid="4" name="MSIP_Label_6f37d5e9-a176-4a87-8b11-38036e55710a_Enabled">
    <vt:lpwstr>true</vt:lpwstr>
  </property>
  <property fmtid="{D5CDD505-2E9C-101B-9397-08002B2CF9AE}" pid="5" name="MSIP_Label_6f37d5e9-a176-4a87-8b11-38036e55710a_SetDate">
    <vt:lpwstr>2024-08-13T01:24:59Z</vt:lpwstr>
  </property>
  <property fmtid="{D5CDD505-2E9C-101B-9397-08002B2CF9AE}" pid="6" name="MSIP_Label_6f37d5e9-a176-4a87-8b11-38036e55710a_Method">
    <vt:lpwstr>Privileged</vt:lpwstr>
  </property>
  <property fmtid="{D5CDD505-2E9C-101B-9397-08002B2CF9AE}" pid="7" name="MSIP_Label_6f37d5e9-a176-4a87-8b11-38036e55710a_Name">
    <vt:lpwstr>PRD - Official-Open and Non-Personal</vt:lpwstr>
  </property>
  <property fmtid="{D5CDD505-2E9C-101B-9397-08002B2CF9AE}" pid="8" name="MSIP_Label_6f37d5e9-a176-4a87-8b11-38036e55710a_SiteId">
    <vt:lpwstr>28d097a1-cf16-4131-8917-4776d850153c</vt:lpwstr>
  </property>
  <property fmtid="{D5CDD505-2E9C-101B-9397-08002B2CF9AE}" pid="9" name="MSIP_Label_6f37d5e9-a176-4a87-8b11-38036e55710a_ActionId">
    <vt:lpwstr>2967491a-1668-46cd-bfc3-08af650fb353</vt:lpwstr>
  </property>
  <property fmtid="{D5CDD505-2E9C-101B-9397-08002B2CF9AE}" pid="10" name="MSIP_Label_6f37d5e9-a176-4a87-8b11-38036e55710a_ContentBits">
    <vt:lpwstr>0</vt:lpwstr>
  </property>
  <property fmtid="{D5CDD505-2E9C-101B-9397-08002B2CF9AE}" pid="11" name="_AdHocReviewCycleID">
    <vt:i4>393175049</vt:i4>
  </property>
  <property fmtid="{D5CDD505-2E9C-101B-9397-08002B2CF9AE}" pid="12" name="_NewReviewCycle">
    <vt:lpwstr/>
  </property>
  <property fmtid="{D5CDD505-2E9C-101B-9397-08002B2CF9AE}" pid="13" name="_EmailSubject">
    <vt:lpwstr>IBF-NTUC CTC Symposium </vt:lpwstr>
  </property>
  <property fmtid="{D5CDD505-2E9C-101B-9397-08002B2CF9AE}" pid="14" name="_AuthorEmail">
    <vt:lpwstr>clare@ibf.org.sg</vt:lpwstr>
  </property>
  <property fmtid="{D5CDD505-2E9C-101B-9397-08002B2CF9AE}" pid="15" name="_AuthorEmailDisplayName">
    <vt:lpwstr>Clare TAN (IBF)</vt:lpwstr>
  </property>
  <property fmtid="{D5CDD505-2E9C-101B-9397-08002B2CF9AE}" pid="16" name="_PreviousAdHocReviewCycleID">
    <vt:i4>-1257429575</vt:i4>
  </property>
  <property fmtid="{D5CDD505-2E9C-101B-9397-08002B2CF9AE}" pid="17" name="_ReviewingToolsShownOnce">
    <vt:lpwstr/>
  </property>
</Properties>
</file>